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90C44" w14:textId="77777777" w:rsidR="000F14C2" w:rsidRPr="005F4061" w:rsidRDefault="00241179">
      <w:pPr>
        <w:spacing w:after="60"/>
        <w:jc w:val="center"/>
      </w:pPr>
      <w:bookmarkStart w:id="0" w:name="_GoBack"/>
      <w:bookmarkEnd w:id="0"/>
      <w:r w:rsidRPr="005F4061">
        <w:rPr>
          <w:b/>
          <w:bCs/>
          <w:color w:val="1F4E79"/>
          <w:sz w:val="40"/>
          <w:szCs w:val="40"/>
        </w:rPr>
        <w:t>Terms of Reference</w:t>
      </w:r>
    </w:p>
    <w:p w14:paraId="3D8148E7" w14:textId="77777777" w:rsidR="000F14C2" w:rsidRPr="005F4061" w:rsidRDefault="00241179">
      <w:pPr>
        <w:spacing w:after="60"/>
        <w:jc w:val="center"/>
      </w:pPr>
      <w:r w:rsidRPr="005F4061">
        <w:rPr>
          <w:b/>
          <w:bCs/>
          <w:sz w:val="26"/>
          <w:szCs w:val="26"/>
        </w:rPr>
        <w:t>Outcome-Based Development of an Enhanced Lower-Secondary Curriculum and Assessment in Dominica and Grenada</w:t>
      </w:r>
    </w:p>
    <w:p w14:paraId="5485242D" w14:textId="77777777" w:rsidR="000F14C2" w:rsidRPr="005F4061" w:rsidRDefault="00241179">
      <w:pPr>
        <w:spacing w:after="240"/>
        <w:jc w:val="center"/>
      </w:pPr>
      <w:r w:rsidRPr="005F4061">
        <w:rPr>
          <w:i/>
          <w:iCs/>
          <w:color w:val="555555"/>
          <w:sz w:val="22"/>
          <w:szCs w:val="22"/>
        </w:rPr>
        <w:t>Windward Islands Sector Transformation for Learning Enhancement (WISTLE, P508559)</w:t>
      </w:r>
    </w:p>
    <w:p w14:paraId="1A243C7C" w14:textId="77777777" w:rsidR="000F14C2" w:rsidRPr="005F4061" w:rsidRDefault="00241179">
      <w:pPr>
        <w:pStyle w:val="heading10"/>
      </w:pPr>
      <w:r w:rsidRPr="005F4061">
        <w:t>I.  Background and Rationale</w:t>
      </w:r>
    </w:p>
    <w:p w14:paraId="714DBBC4" w14:textId="77777777" w:rsidR="000F14C2" w:rsidRPr="005F4061" w:rsidRDefault="00241179" w:rsidP="00ED18E6">
      <w:pPr>
        <w:spacing w:after="120" w:line="276" w:lineRule="auto"/>
        <w:jc w:val="both"/>
      </w:pPr>
      <w:r w:rsidRPr="005F4061">
        <w:t>The World Bank is supporting the Windward Islands Sector Transformation for Learning Enhancement (WISTLE, P508559) in Dominica, Grenada, Saint Lucia, and Saint Vincent and the Grenadines, financed by a US$10 million System Transformation Grant from the Global Partnership for Education. This consultancy supports the priority reforms of Dominica (Component 1) and Grenada (Component 2): the development, delivery, and sustained implementation of an enhanced lower-secondary curriculum, and — in Grenada — an aligned national assessment strategy.</w:t>
      </w:r>
    </w:p>
    <w:p w14:paraId="201F7EE5" w14:textId="77777777" w:rsidR="000F14C2" w:rsidRPr="005F4061" w:rsidRDefault="00241179" w:rsidP="00ED18E6">
      <w:pPr>
        <w:spacing w:after="120" w:line="276" w:lineRule="auto"/>
        <w:jc w:val="both"/>
      </w:pPr>
      <w:r w:rsidRPr="005F4061">
        <w:t>The Windward Islands face persistent constraints to human capital development: harmonized test scores sit below the upper-middle-income average, and the Human Capital Index suggests a child born in the sub-region will be only 54–60 percent as productive as they could be, largely owing to low education quality.</w:t>
      </w:r>
    </w:p>
    <w:p w14:paraId="45A192CC" w14:textId="77777777" w:rsidR="000F14C2" w:rsidRPr="005F4061" w:rsidRDefault="3ADA4DB2" w:rsidP="00ED18E6">
      <w:pPr>
        <w:pStyle w:val="ListParagraph"/>
        <w:numPr>
          <w:ilvl w:val="0"/>
          <w:numId w:val="10"/>
        </w:numPr>
        <w:spacing w:after="60" w:line="276" w:lineRule="auto"/>
        <w:jc w:val="both"/>
      </w:pPr>
      <w:r w:rsidRPr="005F4061">
        <w:rPr>
          <w:b/>
          <w:bCs/>
        </w:rPr>
        <w:t xml:space="preserve">Dominica.  </w:t>
      </w:r>
      <w:r w:rsidRPr="005F4061">
        <w:t>The lower-secondary curriculum is outdated, only partially implemented, and used unevenly across schools, producing variable teaching quality. Only 50 percent of secondary teachers are trained, EdTech is under-leveraged, and provision for SEN learners and TVET pathways is insufficient.</w:t>
      </w:r>
    </w:p>
    <w:p w14:paraId="495AEC22" w14:textId="53371E0C" w:rsidR="000F14C2" w:rsidRPr="005F4061" w:rsidRDefault="3ADA4DB2" w:rsidP="00ED18E6">
      <w:pPr>
        <w:pStyle w:val="ListParagraph"/>
        <w:numPr>
          <w:ilvl w:val="0"/>
          <w:numId w:val="10"/>
        </w:numPr>
        <w:spacing w:after="60" w:line="276" w:lineRule="auto"/>
        <w:jc w:val="both"/>
      </w:pPr>
      <w:r w:rsidRPr="005F4061">
        <w:rPr>
          <w:b/>
          <w:bCs/>
        </w:rPr>
        <w:t xml:space="preserve">Grenada.  </w:t>
      </w:r>
      <w:r w:rsidRPr="005F4061">
        <w:t xml:space="preserve">There is no official lower-secondary curriculum or learning-assessment framework; teachers rely on their own resources. The </w:t>
      </w:r>
      <w:r w:rsidR="20AA84F0" w:rsidRPr="005F4061">
        <w:t>Caribbean Secondary Education Certificate (</w:t>
      </w:r>
      <w:r w:rsidRPr="005F4061">
        <w:t>CSEC</w:t>
      </w:r>
      <w:r w:rsidR="78365E3D" w:rsidRPr="005F4061">
        <w:t>)</w:t>
      </w:r>
      <w:r w:rsidRPr="005F4061">
        <w:t xml:space="preserve"> mathematics pass rate has averaged 44 percent over five years, and around one-fifth of pupils leaving primary do not reach the minimum standard in mathematics and language. Only 40 percent of secondary teachers are trained.</w:t>
      </w:r>
    </w:p>
    <w:p w14:paraId="2225C7FF" w14:textId="77777777" w:rsidR="000F14C2" w:rsidRPr="005F4061" w:rsidRDefault="3ADA4DB2" w:rsidP="00ED18E6">
      <w:pPr>
        <w:spacing w:after="120" w:line="276" w:lineRule="auto"/>
        <w:jc w:val="both"/>
      </w:pPr>
      <w:r w:rsidRPr="005F4061">
        <w:t>Because the two reforms share the same core challenge, this assignment is procured jointly across Dominica and Grenada. The firm is expected to design and deliver common solutions once, contextualized to each country, to maximize coherence, efficiency, and regional knowledge exchange.</w:t>
      </w:r>
    </w:p>
    <w:p w14:paraId="526886F1" w14:textId="77777777" w:rsidR="000F14C2" w:rsidRPr="005F4061" w:rsidRDefault="00241179">
      <w:pPr>
        <w:pStyle w:val="heading10"/>
      </w:pPr>
      <w:r w:rsidRPr="005F4061">
        <w:t>II.  Purpose and Outcomes Sought</w:t>
      </w:r>
    </w:p>
    <w:p w14:paraId="03632CA3" w14:textId="7EDC69E9" w:rsidR="000F14C2" w:rsidRPr="005F4061" w:rsidRDefault="3ADA4DB2" w:rsidP="006356A4">
      <w:pPr>
        <w:spacing w:after="120" w:line="276" w:lineRule="auto"/>
        <w:jc w:val="both"/>
      </w:pPr>
      <w:r w:rsidRPr="005F4061">
        <w:t>This Terms of Reference is outcome-based. It defines the results the two Ministries of Education seek and the standards the work must meet, and it gives the firm the responsibility and professional freedom to determine how best to achieve them. The firm is accountable for outcomes, not for executing a prescribed list of tasks.</w:t>
      </w:r>
    </w:p>
    <w:p w14:paraId="56B1CC13" w14:textId="77777777" w:rsidR="000F14C2" w:rsidRPr="005F4061" w:rsidRDefault="3ADA4DB2" w:rsidP="006356A4">
      <w:pPr>
        <w:spacing w:after="120" w:line="276" w:lineRule="auto"/>
        <w:jc w:val="both"/>
      </w:pPr>
      <w:r w:rsidRPr="005F4061">
        <w:t>The Project Development Objective is to (i) enhance teacher pedagogical practices at the secondary level; (ii) implement enhanced lower-secondary curricula; and (iii) improve efficiency. In support of this, the assignment must deliver the following outcomes:</w:t>
      </w:r>
    </w:p>
    <w:p w14:paraId="0A1FB467" w14:textId="6DB429C6" w:rsidR="000F14C2" w:rsidRPr="005F4061" w:rsidRDefault="3ADA4DB2" w:rsidP="006356A4">
      <w:pPr>
        <w:pStyle w:val="ListParagraph"/>
        <w:numPr>
          <w:ilvl w:val="0"/>
          <w:numId w:val="10"/>
        </w:numPr>
        <w:spacing w:after="60" w:line="276" w:lineRule="auto"/>
        <w:jc w:val="both"/>
      </w:pPr>
      <w:r w:rsidRPr="005F4061">
        <w:rPr>
          <w:b/>
          <w:bCs/>
        </w:rPr>
        <w:t xml:space="preserve">A relevant, inclusive curriculum in use.  </w:t>
      </w:r>
      <w:r w:rsidRPr="005F4061">
        <w:t>An enhanced lower-secondary curriculum — Forms 1–3 in Dominica and Forms 1–2 in Grenada — that is locally owned, aligned to regional standards, and effectively taught in the classrooms.</w:t>
      </w:r>
    </w:p>
    <w:p w14:paraId="6D73F94A" w14:textId="3D03D3FD" w:rsidR="000F14C2" w:rsidRPr="005F4061" w:rsidRDefault="3ADA4DB2" w:rsidP="006356A4">
      <w:pPr>
        <w:pStyle w:val="ListParagraph"/>
        <w:numPr>
          <w:ilvl w:val="0"/>
          <w:numId w:val="10"/>
        </w:numPr>
        <w:spacing w:after="60" w:line="276" w:lineRule="auto"/>
        <w:jc w:val="both"/>
      </w:pPr>
      <w:r w:rsidRPr="005F4061">
        <w:rPr>
          <w:b/>
          <w:bCs/>
        </w:rPr>
        <w:lastRenderedPageBreak/>
        <w:t xml:space="preserve">Stronger teaching practices.  </w:t>
      </w:r>
      <w:r w:rsidRPr="005F4061">
        <w:t>Measurable improvement in teacher pedagogical practice, evidenced through the TEACH Secondary Digital classroom-observation tool from baseline to endline.</w:t>
      </w:r>
    </w:p>
    <w:p w14:paraId="5FED158D" w14:textId="0F722789" w:rsidR="000F14C2" w:rsidRPr="005F4061" w:rsidRDefault="3ADA4DB2" w:rsidP="006356A4">
      <w:pPr>
        <w:pStyle w:val="ListParagraph"/>
        <w:numPr>
          <w:ilvl w:val="0"/>
          <w:numId w:val="10"/>
        </w:numPr>
        <w:spacing w:after="60" w:line="276" w:lineRule="auto"/>
        <w:jc w:val="both"/>
      </w:pPr>
      <w:r w:rsidRPr="005F4061">
        <w:rPr>
          <w:b/>
          <w:bCs/>
        </w:rPr>
        <w:t xml:space="preserve">Inclusive and </w:t>
      </w:r>
      <w:r w:rsidR="78F5ABB6" w:rsidRPr="005F4061">
        <w:rPr>
          <w:b/>
          <w:bCs/>
        </w:rPr>
        <w:t>vocational learning</w:t>
      </w:r>
      <w:r w:rsidRPr="005F4061">
        <w:rPr>
          <w:b/>
          <w:bCs/>
        </w:rPr>
        <w:t xml:space="preserve">.  </w:t>
      </w:r>
      <w:r w:rsidRPr="005F4061">
        <w:t>Curriculum and delivery that serve all learners — with a functional curriculum and assistive provision for SEN students and suggestions for integrat</w:t>
      </w:r>
      <w:r w:rsidR="7D757FC8" w:rsidRPr="005F4061">
        <w:t>ing vocational learning</w:t>
      </w:r>
      <w:r w:rsidRPr="005F4061">
        <w:t>.</w:t>
      </w:r>
    </w:p>
    <w:p w14:paraId="69791341" w14:textId="6F13F8F7" w:rsidR="000F14C2" w:rsidRPr="005F4061" w:rsidRDefault="3ADA4DB2" w:rsidP="006356A4">
      <w:pPr>
        <w:pStyle w:val="ListParagraph"/>
        <w:numPr>
          <w:ilvl w:val="0"/>
          <w:numId w:val="10"/>
        </w:numPr>
        <w:spacing w:after="60" w:line="276" w:lineRule="auto"/>
        <w:jc w:val="both"/>
      </w:pPr>
      <w:r w:rsidRPr="005F4061">
        <w:rPr>
          <w:b/>
          <w:bCs/>
        </w:rPr>
        <w:t xml:space="preserve">A credible assessment system.  </w:t>
      </w:r>
      <w:r w:rsidRPr="005F4061">
        <w:t>A national student-assessment strategy across all levels and a lower-secondary assessment aligned to the new curriculum and regional examinations policy.</w:t>
      </w:r>
    </w:p>
    <w:p w14:paraId="39D966B2" w14:textId="77777777" w:rsidR="000F14C2" w:rsidRPr="005F4061" w:rsidRDefault="3ADA4DB2" w:rsidP="006356A4">
      <w:pPr>
        <w:pStyle w:val="ListParagraph"/>
        <w:numPr>
          <w:ilvl w:val="0"/>
          <w:numId w:val="10"/>
        </w:numPr>
        <w:spacing w:after="60" w:line="276" w:lineRule="auto"/>
        <w:jc w:val="both"/>
      </w:pPr>
      <w:r w:rsidRPr="005F4061">
        <w:rPr>
          <w:b/>
          <w:bCs/>
        </w:rPr>
        <w:t xml:space="preserve">Digitally enabled delivery.  </w:t>
      </w:r>
      <w:r w:rsidRPr="005F4061">
        <w:t>Curriculum and assessment resources hosted on a fit-for-purpose Learning Management System that leverages existing regional platforms rather than building anew.</w:t>
      </w:r>
    </w:p>
    <w:p w14:paraId="3AF87DE2" w14:textId="7EACCF69" w:rsidR="000F14C2" w:rsidRPr="005F4061" w:rsidRDefault="3ADA4DB2" w:rsidP="006356A4">
      <w:pPr>
        <w:pStyle w:val="ListParagraph"/>
        <w:numPr>
          <w:ilvl w:val="0"/>
          <w:numId w:val="10"/>
        </w:numPr>
        <w:spacing w:after="60" w:line="276" w:lineRule="auto"/>
        <w:jc w:val="both"/>
      </w:pPr>
      <w:r w:rsidRPr="005F4061">
        <w:rPr>
          <w:b/>
          <w:bCs/>
        </w:rPr>
        <w:t xml:space="preserve">Local capacity that outlasts the contract.  </w:t>
      </w:r>
      <w:r w:rsidRPr="005F4061">
        <w:t>National curriculum developers, education officers, assessment staff, and teachers are equipped and certified to maintain, evaluate, and adapt the curriculum after the firm departs.</w:t>
      </w:r>
    </w:p>
    <w:p w14:paraId="2D291220" w14:textId="35610ABB" w:rsidR="000F14C2" w:rsidRPr="005F4061" w:rsidRDefault="00241179">
      <w:pPr>
        <w:pStyle w:val="heading10"/>
      </w:pPr>
      <w:r w:rsidRPr="005F4061">
        <w:t>III. Guiding Principles and Binding Requirements</w:t>
      </w:r>
    </w:p>
    <w:p w14:paraId="39F86772" w14:textId="77777777" w:rsidR="000F14C2" w:rsidRPr="005F4061" w:rsidRDefault="3ADA4DB2">
      <w:pPr>
        <w:spacing w:after="120" w:line="276" w:lineRule="auto"/>
      </w:pPr>
      <w:r w:rsidRPr="005F4061">
        <w:t>The firm is free to propose its own methodology, sequencing, and team structure. That freedom is bound by the following non-negotiable requirements, which apply throughout the assignment and against which proposals and deliverables will be assessed:</w:t>
      </w:r>
    </w:p>
    <w:p w14:paraId="763F8A8A" w14:textId="29636593" w:rsidR="000F14C2" w:rsidRPr="005F4061" w:rsidRDefault="3ADA4DB2">
      <w:pPr>
        <w:pStyle w:val="ListParagraph"/>
        <w:numPr>
          <w:ilvl w:val="0"/>
          <w:numId w:val="10"/>
        </w:numPr>
        <w:spacing w:after="60" w:line="276" w:lineRule="auto"/>
      </w:pPr>
      <w:r w:rsidRPr="005F4061">
        <w:rPr>
          <w:b/>
          <w:bCs/>
        </w:rPr>
        <w:t xml:space="preserve">1.  Lead with local expertise.  </w:t>
      </w:r>
      <w:r w:rsidRPr="005F4061">
        <w:t xml:space="preserve">The firm must engage local and regional curriculum and subject-matter specialists and work through MoE curriculum, examinations, technology, TVET, SEN, and arts officers. International expertise is welcome </w:t>
      </w:r>
      <w:r w:rsidR="25976854" w:rsidRPr="005F4061">
        <w:t xml:space="preserve">and </w:t>
      </w:r>
      <w:r w:rsidRPr="005F4061">
        <w:t>must be used to complement Caribbean and national capacity.</w:t>
      </w:r>
    </w:p>
    <w:p w14:paraId="2EBC819E" w14:textId="63B4D88C" w:rsidR="000F14C2" w:rsidRPr="005F4061" w:rsidRDefault="3ADA4DB2">
      <w:pPr>
        <w:pStyle w:val="ListParagraph"/>
        <w:numPr>
          <w:ilvl w:val="0"/>
          <w:numId w:val="10"/>
        </w:numPr>
        <w:spacing w:after="60" w:line="276" w:lineRule="auto"/>
      </w:pPr>
      <w:r w:rsidRPr="005F4061">
        <w:rPr>
          <w:b/>
          <w:bCs/>
        </w:rPr>
        <w:t xml:space="preserve">2.  Build durable local capacity.  </w:t>
      </w:r>
      <w:r w:rsidRPr="005F4061">
        <w:t>Knowledge transfer is a core obligation, not a by-product. The firm must train and certify national curriculum developers, education officers, assessment staff, and teachers, working through national teacher-training institutions and public-service structures, so that each MoE can sustain the reform independently.</w:t>
      </w:r>
    </w:p>
    <w:p w14:paraId="6EFDB8A2" w14:textId="77777777" w:rsidR="000F14C2" w:rsidRPr="005F4061" w:rsidRDefault="3ADA4DB2">
      <w:pPr>
        <w:pStyle w:val="ListParagraph"/>
        <w:numPr>
          <w:ilvl w:val="0"/>
          <w:numId w:val="10"/>
        </w:numPr>
        <w:spacing w:after="60" w:line="276" w:lineRule="auto"/>
      </w:pPr>
      <w:r w:rsidRPr="005F4061">
        <w:rPr>
          <w:b/>
          <w:bCs/>
        </w:rPr>
        <w:t xml:space="preserve">3.  Align with existing initiatives; build on them, do not duplicate.  </w:t>
      </w:r>
      <w:r w:rsidRPr="005F4061">
        <w:t>The firm must explicitly leverage the assets and evidence already in place:</w:t>
      </w:r>
    </w:p>
    <w:p w14:paraId="5872E8FC" w14:textId="36941C3A" w:rsidR="000F14C2" w:rsidRPr="005F4061" w:rsidRDefault="3ADA4DB2" w:rsidP="009515F9">
      <w:pPr>
        <w:pStyle w:val="ListParagraph"/>
        <w:numPr>
          <w:ilvl w:val="1"/>
          <w:numId w:val="11"/>
        </w:numPr>
        <w:spacing w:after="60" w:line="276" w:lineRule="auto"/>
      </w:pPr>
      <w:r w:rsidRPr="005F4061">
        <w:rPr>
          <w:b/>
          <w:bCs/>
        </w:rPr>
        <w:t>TEACH Secondary Digital</w:t>
      </w:r>
      <w:r w:rsidRPr="005F4061">
        <w:t>: use the adapted World Bank/OECS classroom-observation tool to baseline practice, inform the curriculum, monitor the pilot, and utilize W</w:t>
      </w:r>
      <w:r w:rsidR="06B96CEC" w:rsidRPr="005F4061">
        <w:t xml:space="preserve">orld </w:t>
      </w:r>
      <w:r w:rsidRPr="005F4061">
        <w:t>B</w:t>
      </w:r>
      <w:r w:rsidR="1B2A0FD2" w:rsidRPr="005F4061">
        <w:t>ank</w:t>
      </w:r>
      <w:r w:rsidRPr="005F4061">
        <w:t xml:space="preserve"> trained master trainers and local </w:t>
      </w:r>
      <w:r w:rsidR="3585E570" w:rsidRPr="005F4061">
        <w:t xml:space="preserve">classroom </w:t>
      </w:r>
      <w:r w:rsidRPr="005F4061">
        <w:t>observers.</w:t>
      </w:r>
    </w:p>
    <w:p w14:paraId="5401314A" w14:textId="315875A2" w:rsidR="000F14C2" w:rsidRPr="005F4061" w:rsidRDefault="00241179" w:rsidP="009515F9">
      <w:pPr>
        <w:pStyle w:val="ListParagraph"/>
        <w:numPr>
          <w:ilvl w:val="1"/>
          <w:numId w:val="11"/>
        </w:numPr>
        <w:spacing w:after="60" w:line="276" w:lineRule="auto"/>
      </w:pPr>
      <w:r w:rsidRPr="005F4061">
        <w:rPr>
          <w:b/>
          <w:bCs/>
        </w:rPr>
        <w:t>Dominica SEN Needs Assessment</w:t>
      </w:r>
      <w:r w:rsidRPr="005F4061">
        <w:t xml:space="preserve"> (the Needs Analysis of Inclusive Education in Dominica and forthcoming Inclusive Education Policy): build the functional curriculum and SEN provision on its findings. </w:t>
      </w:r>
    </w:p>
    <w:p w14:paraId="7FF71C11" w14:textId="693DA101" w:rsidR="000F14C2" w:rsidRPr="005F4061" w:rsidRDefault="00241179" w:rsidP="009515F9">
      <w:pPr>
        <w:pStyle w:val="ListParagraph"/>
        <w:numPr>
          <w:ilvl w:val="1"/>
          <w:numId w:val="11"/>
        </w:numPr>
        <w:spacing w:after="60" w:line="276" w:lineRule="auto"/>
      </w:pPr>
      <w:r w:rsidRPr="005F4061">
        <w:rPr>
          <w:b/>
          <w:bCs/>
        </w:rPr>
        <w:t>Dominica TVET Situational Analysis</w:t>
      </w:r>
      <w:r w:rsidRPr="005F4061">
        <w:t xml:space="preserve">: use it as the basis for suggesting avenues for introducing TVET </w:t>
      </w:r>
      <w:r w:rsidR="24F05AC9" w:rsidRPr="005F4061">
        <w:t>from</w:t>
      </w:r>
      <w:r w:rsidRPr="005F4061">
        <w:t xml:space="preserve"> Form 1 </w:t>
      </w:r>
      <w:r w:rsidR="626F43A6" w:rsidRPr="005F4061">
        <w:t>considering the broader TVET context</w:t>
      </w:r>
      <w:r w:rsidR="653AA11F" w:rsidRPr="005F4061">
        <w:t xml:space="preserve"> and the government’s ambitions to increasingly provide CANTA-aligned TVET</w:t>
      </w:r>
      <w:r w:rsidR="59F0DBE4" w:rsidRPr="005F4061">
        <w:t>, either through vocational learning in the curriculum or as part of general subjects or as both.</w:t>
      </w:r>
      <w:r w:rsidR="653AA11F" w:rsidRPr="005F4061">
        <w:t xml:space="preserve"> </w:t>
      </w:r>
      <w:r w:rsidRPr="005F4061">
        <w:t>.</w:t>
      </w:r>
    </w:p>
    <w:p w14:paraId="70B0395B" w14:textId="723C4D70" w:rsidR="000F14C2" w:rsidRPr="005F4061" w:rsidRDefault="3ADA4DB2" w:rsidP="009515F9">
      <w:pPr>
        <w:pStyle w:val="ListParagraph"/>
        <w:numPr>
          <w:ilvl w:val="1"/>
          <w:numId w:val="11"/>
        </w:numPr>
        <w:spacing w:after="60" w:line="276" w:lineRule="auto"/>
      </w:pPr>
      <w:r w:rsidRPr="005F4061">
        <w:rPr>
          <w:b/>
          <w:bCs/>
        </w:rPr>
        <w:t>OECS PEARL LMS and platforms</w:t>
      </w:r>
      <w:r w:rsidRPr="005F4061">
        <w:t>: leverage the existing OECS Commission / PEARL learning-management platform and other regional LMS where feasible, rather than building a new system from scratch.</w:t>
      </w:r>
    </w:p>
    <w:p w14:paraId="4939192F" w14:textId="7C568ECF" w:rsidR="000F14C2" w:rsidRPr="005F4061" w:rsidRDefault="3ADA4DB2" w:rsidP="009515F9">
      <w:pPr>
        <w:pStyle w:val="ListParagraph"/>
        <w:numPr>
          <w:ilvl w:val="1"/>
          <w:numId w:val="11"/>
        </w:numPr>
        <w:spacing w:after="60" w:line="276" w:lineRule="auto"/>
      </w:pPr>
      <w:r w:rsidRPr="005F4061">
        <w:rPr>
          <w:b/>
          <w:bCs/>
        </w:rPr>
        <w:lastRenderedPageBreak/>
        <w:t>OECS Harmonized Primary Curriculum (OHPC)</w:t>
      </w:r>
      <w:r w:rsidRPr="005F4061">
        <w:t>: ensure a coherent learning progression from Grade 6 into lower secondary</w:t>
      </w:r>
    </w:p>
    <w:p w14:paraId="3500D5F2" w14:textId="65201674" w:rsidR="000F14C2" w:rsidRPr="005F4061" w:rsidRDefault="3ADA4DB2" w:rsidP="009515F9">
      <w:pPr>
        <w:pStyle w:val="ListParagraph"/>
        <w:numPr>
          <w:ilvl w:val="1"/>
          <w:numId w:val="11"/>
        </w:numPr>
        <w:spacing w:after="60" w:line="276" w:lineRule="auto"/>
      </w:pPr>
      <w:r w:rsidRPr="005F4061">
        <w:rPr>
          <w:b/>
          <w:bCs/>
        </w:rPr>
        <w:t>Regional examinations</w:t>
      </w:r>
      <w:r w:rsidR="28256B1C" w:rsidRPr="005F4061">
        <w:rPr>
          <w:b/>
          <w:bCs/>
        </w:rPr>
        <w:t xml:space="preserve"> and certification</w:t>
      </w:r>
      <w:r w:rsidRPr="005F4061">
        <w:rPr>
          <w:b/>
          <w:bCs/>
        </w:rPr>
        <w:t xml:space="preserve"> policy</w:t>
      </w:r>
      <w:r w:rsidRPr="005F4061">
        <w:t xml:space="preserve"> (CPEA,</w:t>
      </w:r>
      <w:r w:rsidR="54F3BFB8" w:rsidRPr="005F4061">
        <w:t xml:space="preserve"> CCSLC,</w:t>
      </w:r>
      <w:r w:rsidRPr="005F4061">
        <w:t xml:space="preserve"> </w:t>
      </w:r>
      <w:r w:rsidR="4CE0850C" w:rsidRPr="005F4061">
        <w:t xml:space="preserve">CVQs, </w:t>
      </w:r>
      <w:r w:rsidRPr="005F4061">
        <w:t>CSEC, CAPE, and minimum-competency tests) — anchor assessment design to it.</w:t>
      </w:r>
    </w:p>
    <w:p w14:paraId="01006F73" w14:textId="3B63C5BF" w:rsidR="000F14C2" w:rsidRPr="005F4061" w:rsidRDefault="3ADA4DB2">
      <w:pPr>
        <w:pStyle w:val="ListParagraph"/>
        <w:numPr>
          <w:ilvl w:val="0"/>
          <w:numId w:val="10"/>
        </w:numPr>
        <w:spacing w:after="60" w:line="276" w:lineRule="auto"/>
      </w:pPr>
      <w:r w:rsidRPr="005F4061">
        <w:rPr>
          <w:b/>
          <w:bCs/>
        </w:rPr>
        <w:t xml:space="preserve">4.  Pooled procurement, contextualized delivery.  </w:t>
      </w:r>
      <w:r w:rsidRPr="005F4061">
        <w:t>The assignment is procured jointly across the two countries. The firm must design common frameworks, training, digital platforms</w:t>
      </w:r>
      <w:r w:rsidR="3E180049" w:rsidRPr="005F4061">
        <w:t>- where applicable</w:t>
      </w:r>
      <w:r w:rsidRPr="005F4061">
        <w:t>, and item banks once and deliver them once, with country-specific instances, annexes, or content where the substantive scope diverges. Each country owns and pays for its own contextualized outputs. In costing the deliverables, the firm is required to clearly define shared versus country specific costs.</w:t>
      </w:r>
      <w:r w:rsidR="1BEF2447" w:rsidRPr="005F4061">
        <w:t xml:space="preserve"> For </w:t>
      </w:r>
      <w:r w:rsidR="2FE593A1" w:rsidRPr="005F4061">
        <w:t xml:space="preserve">non-core subjects </w:t>
      </w:r>
      <w:r w:rsidR="61DB0196" w:rsidRPr="005F4061">
        <w:t xml:space="preserve">the firm must </w:t>
      </w:r>
      <w:r w:rsidR="781BFC00" w:rsidRPr="005F4061">
        <w:t>utilize a modular pricing structure</w:t>
      </w:r>
      <w:r w:rsidR="05D1656F" w:rsidRPr="005F4061">
        <w:t>.</w:t>
      </w:r>
    </w:p>
    <w:p w14:paraId="1A87CD29" w14:textId="10EE2E15" w:rsidR="000F14C2" w:rsidRPr="005F4061" w:rsidRDefault="3ADA4DB2">
      <w:pPr>
        <w:pStyle w:val="ListParagraph"/>
        <w:numPr>
          <w:ilvl w:val="0"/>
          <w:numId w:val="10"/>
        </w:numPr>
        <w:spacing w:after="60" w:line="276" w:lineRule="auto"/>
      </w:pPr>
      <w:r w:rsidRPr="005F4061">
        <w:rPr>
          <w:b/>
          <w:bCs/>
        </w:rPr>
        <w:t xml:space="preserve">5.  Inclusion by design.  </w:t>
      </w:r>
      <w:r w:rsidRPr="005F4061">
        <w:t>Gender, social inclusion, indigenous groups, and special-education learners must be addressed within the curriculum, assessment, and delivery</w:t>
      </w:r>
      <w:r w:rsidR="001450FA" w:rsidRPr="005F4061">
        <w:t xml:space="preserve"> through the </w:t>
      </w:r>
      <w:r w:rsidR="00A05201" w:rsidRPr="005F4061">
        <w:t>integration of Universal Design for Learning (UDL)</w:t>
      </w:r>
      <w:r w:rsidRPr="005F4061">
        <w:t>.</w:t>
      </w:r>
    </w:p>
    <w:p w14:paraId="435D879F" w14:textId="77777777" w:rsidR="000F14C2" w:rsidRPr="005F4061" w:rsidRDefault="00241179">
      <w:pPr>
        <w:pStyle w:val="heading10"/>
      </w:pPr>
      <w:r w:rsidRPr="005F4061">
        <w:t>IV.  Scope of Services</w:t>
      </w:r>
    </w:p>
    <w:p w14:paraId="4C2F3157" w14:textId="4E32050D" w:rsidR="000F14C2" w:rsidRPr="005F4061" w:rsidRDefault="00241179">
      <w:pPr>
        <w:spacing w:after="120" w:line="276" w:lineRule="auto"/>
      </w:pPr>
      <w:r w:rsidRPr="005F4061">
        <w:t>The scope below is expressed as outcome areas with the results and standards expected in each. The firm will propose in its technical offer</w:t>
      </w:r>
      <w:r w:rsidR="6D96514E" w:rsidRPr="005F4061">
        <w:t>,</w:t>
      </w:r>
      <w:r w:rsidRPr="005F4061">
        <w:t xml:space="preserve"> and refine at inception, the specific methods, tools, and work plan to achieve them. Unless noted as country-specific, work is delivered jointly and contextualized per country.</w:t>
      </w:r>
    </w:p>
    <w:p w14:paraId="612C49AE" w14:textId="77777777" w:rsidR="000F14C2" w:rsidRPr="005F4061" w:rsidRDefault="00241179">
      <w:pPr>
        <w:pStyle w:val="heading20"/>
      </w:pPr>
      <w:r w:rsidRPr="005F4061">
        <w:t>A.  Curriculum design, delivery, and implementation</w:t>
      </w:r>
    </w:p>
    <w:p w14:paraId="3C7A5C7D" w14:textId="3F366E80" w:rsidR="000F14C2" w:rsidRPr="005F4061" w:rsidRDefault="00241179">
      <w:pPr>
        <w:pStyle w:val="ListParagraph"/>
        <w:numPr>
          <w:ilvl w:val="0"/>
          <w:numId w:val="10"/>
        </w:numPr>
        <w:spacing w:after="60" w:line="276" w:lineRule="auto"/>
      </w:pPr>
      <w:r w:rsidRPr="005F4061">
        <w:rPr>
          <w:b/>
          <w:bCs/>
        </w:rPr>
        <w:t>Establish the evidence base:</w:t>
      </w:r>
      <w:r w:rsidRPr="005F4061">
        <w:t xml:space="preserve"> review existing curricula, the OHPC, national policies, and ongoing initiatives; assess the ECD-to-secondary pathway; and use TEACH Secondary Digital to baseline current teaching practice in each country.</w:t>
      </w:r>
    </w:p>
    <w:p w14:paraId="2EE10041" w14:textId="645EFA4F" w:rsidR="000F14C2" w:rsidRPr="005F4061" w:rsidRDefault="00241179">
      <w:pPr>
        <w:pStyle w:val="ListParagraph"/>
        <w:numPr>
          <w:ilvl w:val="0"/>
          <w:numId w:val="10"/>
        </w:numPr>
        <w:spacing w:after="60" w:line="276" w:lineRule="auto"/>
      </w:pPr>
      <w:r w:rsidRPr="005F4061">
        <w:rPr>
          <w:b/>
          <w:bCs/>
        </w:rPr>
        <w:t>Agree, with the Technical Task Force, the curriculum framework</w:t>
      </w:r>
      <w:r w:rsidRPr="005F4061">
        <w:t xml:space="preserve"> — the vision of the ideal graduate, priority learning outcomes, pedagogical approach, and the core subjects per form (Forms 1–3 in Dominica; Forms 1–2 in Grenada).</w:t>
      </w:r>
    </w:p>
    <w:p w14:paraId="5F9A200C" w14:textId="054903AF" w:rsidR="140E5372" w:rsidRPr="005F4061" w:rsidRDefault="00241179" w:rsidP="140E5372">
      <w:pPr>
        <w:pStyle w:val="ListParagraph"/>
        <w:numPr>
          <w:ilvl w:val="0"/>
          <w:numId w:val="10"/>
        </w:numPr>
        <w:spacing w:after="60" w:line="276" w:lineRule="auto"/>
      </w:pPr>
      <w:r w:rsidRPr="005F4061">
        <w:rPr>
          <w:b/>
          <w:bCs/>
        </w:rPr>
        <w:t>Develop the subject curricula, teacher guides, and learning resources</w:t>
      </w:r>
      <w:r w:rsidR="793E3DDB" w:rsidRPr="005F4061">
        <w:rPr>
          <w:b/>
          <w:bCs/>
        </w:rPr>
        <w:t xml:space="preserve"> </w:t>
      </w:r>
      <w:r w:rsidR="793E3DDB" w:rsidRPr="005F4061">
        <w:t>for</w:t>
      </w:r>
      <w:r w:rsidR="006377D0" w:rsidRPr="005F4061">
        <w:t xml:space="preserve"> </w:t>
      </w:r>
      <w:r w:rsidR="24F1CA23" w:rsidRPr="005F4061">
        <w:t>ten</w:t>
      </w:r>
      <w:r w:rsidRPr="005F4061" w:rsidDel="00241179">
        <w:t xml:space="preserve"> </w:t>
      </w:r>
      <w:r w:rsidRPr="005F4061">
        <w:t>(</w:t>
      </w:r>
      <w:r w:rsidR="380FD7C1" w:rsidRPr="005F4061">
        <w:t>10</w:t>
      </w:r>
      <w:r w:rsidRPr="005F4061">
        <w:t>)  subjects</w:t>
      </w:r>
      <w:r w:rsidR="00FF0C61" w:rsidRPr="005F4061">
        <w:t xml:space="preserve"> </w:t>
      </w:r>
      <w:r w:rsidRPr="005F4061">
        <w:t xml:space="preserve">for Dominica and </w:t>
      </w:r>
      <w:r w:rsidR="512CE745" w:rsidRPr="005F4061">
        <w:t>ten (10)</w:t>
      </w:r>
      <w:r w:rsidRPr="005F4061">
        <w:t xml:space="preserve">  subjects for Grenada </w:t>
      </w:r>
      <w:r w:rsidR="00FF0C61" w:rsidRPr="005F4061">
        <w:t>including four core subjects</w:t>
      </w:r>
      <w:r w:rsidR="00FF0C61" w:rsidRPr="005F4061">
        <w:rPr>
          <w:rStyle w:val="FootnoteReference"/>
        </w:rPr>
        <w:footnoteReference w:id="1"/>
      </w:r>
      <w:r w:rsidRPr="005F4061">
        <w:t xml:space="preserve"> — including a functional curriculum for SEN delivery</w:t>
      </w:r>
      <w:r w:rsidRPr="005F4061">
        <w:rPr>
          <w:rStyle w:val="FootnoteReference"/>
        </w:rPr>
        <w:footnoteReference w:id="2"/>
      </w:r>
      <w:r w:rsidRPr="005F4061">
        <w:t xml:space="preserve"> and options for effectively introducing TVET at forms 1. </w:t>
      </w:r>
      <w:r w:rsidR="65750579" w:rsidRPr="005F4061">
        <w:t>Four core subjects will be shared between both countries. The non-core subjects will include a mix of two to six subjects</w:t>
      </w:r>
      <w:r w:rsidR="00FF0C61" w:rsidRPr="005F4061">
        <w:t xml:space="preserve"> and may be shared</w:t>
      </w:r>
      <w:r w:rsidR="001705C5" w:rsidRPr="005F4061">
        <w:t xml:space="preserve"> as determined through out this contract.</w:t>
      </w:r>
      <w:r w:rsidR="65750579" w:rsidRPr="005F4061">
        <w:t xml:space="preserve"> The articulation of the non-core subjects for curricula development will be provided at the Request for Proposal stage. At this EOI stage, firms are requested to provide modular pricing for the non-core subject areas.</w:t>
      </w:r>
    </w:p>
    <w:p w14:paraId="212905DC" w14:textId="401FE147" w:rsidR="000F14C2" w:rsidRPr="005F4061" w:rsidRDefault="00241179">
      <w:pPr>
        <w:pStyle w:val="ListParagraph"/>
        <w:numPr>
          <w:ilvl w:val="0"/>
          <w:numId w:val="10"/>
        </w:numPr>
        <w:spacing w:after="60" w:line="276" w:lineRule="auto"/>
      </w:pPr>
      <w:r w:rsidRPr="005F4061">
        <w:rPr>
          <w:b/>
          <w:bCs/>
        </w:rPr>
        <w:t>Pilot the new curriculum</w:t>
      </w:r>
      <w:r w:rsidRPr="005F4061">
        <w:t xml:space="preserve"> in selected schools for at least two academic terms, monitor implementation with TEACH Secondary Digital, and revise on the basis of pilot evidence and qualitative research on teacher and student experience.</w:t>
      </w:r>
    </w:p>
    <w:p w14:paraId="21FFCAA2" w14:textId="541DD9B3" w:rsidR="000F14C2" w:rsidRPr="005F4061" w:rsidRDefault="00241179">
      <w:pPr>
        <w:pStyle w:val="ListParagraph"/>
        <w:numPr>
          <w:ilvl w:val="0"/>
          <w:numId w:val="10"/>
        </w:numPr>
        <w:spacing w:after="60" w:line="276" w:lineRule="auto"/>
      </w:pPr>
      <w:r w:rsidRPr="005F4061">
        <w:rPr>
          <w:b/>
          <w:bCs/>
        </w:rPr>
        <w:lastRenderedPageBreak/>
        <w:t>Digitalize the curriculum</w:t>
      </w:r>
      <w:r w:rsidRPr="005F4061">
        <w:t xml:space="preserve"> and teacher training resources on a shared LMS that leverages existing regional platforms, with country-specific instances interoperable with each country's EMIS.</w:t>
      </w:r>
    </w:p>
    <w:p w14:paraId="49FC920F" w14:textId="77777777" w:rsidR="000F14C2" w:rsidRPr="005F4061" w:rsidRDefault="00241179">
      <w:pPr>
        <w:pStyle w:val="heading20"/>
      </w:pPr>
      <w:r w:rsidRPr="005F4061">
        <w:t>B.  Design and use of assessments</w:t>
      </w:r>
    </w:p>
    <w:p w14:paraId="1C552E44" w14:textId="18358F35" w:rsidR="000F14C2" w:rsidRPr="005F4061" w:rsidRDefault="00241179">
      <w:pPr>
        <w:pStyle w:val="ListParagraph"/>
        <w:numPr>
          <w:ilvl w:val="0"/>
          <w:numId w:val="10"/>
        </w:numPr>
        <w:spacing w:after="60" w:line="276" w:lineRule="auto"/>
      </w:pPr>
      <w:r w:rsidRPr="005F4061">
        <w:rPr>
          <w:b/>
          <w:bCs/>
        </w:rPr>
        <w:t>Build a national assessment capability:</w:t>
      </w:r>
      <w:r w:rsidRPr="005F4061">
        <w:t xml:space="preserve"> a national student-assessment strategy across all levels with an implementation plan, and a lower-secondary assessment aligned to the new curriculum and regional examinations policy.</w:t>
      </w:r>
    </w:p>
    <w:p w14:paraId="62B79607" w14:textId="77777777" w:rsidR="000F14C2" w:rsidRPr="005F4061" w:rsidRDefault="00241179">
      <w:pPr>
        <w:pStyle w:val="ListParagraph"/>
        <w:numPr>
          <w:ilvl w:val="0"/>
          <w:numId w:val="10"/>
        </w:numPr>
        <w:spacing w:after="60" w:line="276" w:lineRule="auto"/>
      </w:pPr>
      <w:r w:rsidRPr="005F4061">
        <w:rPr>
          <w:b/>
          <w:bCs/>
        </w:rPr>
        <w:t>Develop assessment materials</w:t>
      </w:r>
      <w:r w:rsidRPr="005F4061">
        <w:t>, an item bank, and a digital assessment library — leveraging AI tools for item generation, integrated with the shared LMS and accessible to the other WISTLE countries — with appropriate SEN protocols and quality assurance.</w:t>
      </w:r>
    </w:p>
    <w:p w14:paraId="5808E4DC" w14:textId="77777777" w:rsidR="000F14C2" w:rsidRPr="005F4061" w:rsidRDefault="00241179">
      <w:pPr>
        <w:pStyle w:val="heading20"/>
      </w:pPr>
      <w:r w:rsidRPr="005F4061">
        <w:t>C.  Capacity development and sustainability</w:t>
      </w:r>
    </w:p>
    <w:p w14:paraId="5E1BAE65" w14:textId="77777777" w:rsidR="000F14C2" w:rsidRPr="005F4061" w:rsidRDefault="00241179">
      <w:pPr>
        <w:pStyle w:val="ListParagraph"/>
        <w:numPr>
          <w:ilvl w:val="0"/>
          <w:numId w:val="10"/>
        </w:numPr>
        <w:spacing w:after="60" w:line="276" w:lineRule="auto"/>
      </w:pPr>
      <w:r w:rsidRPr="005F4061">
        <w:rPr>
          <w:b/>
          <w:bCs/>
        </w:rPr>
        <w:t xml:space="preserve">Train and certify national curriculum developers, education officers, and heads of department </w:t>
      </w:r>
      <w:r w:rsidRPr="005F4061">
        <w:t>— running joint cohorts across both countries where feasible to build a regional community of practice.</w:t>
      </w:r>
    </w:p>
    <w:p w14:paraId="7CE075F5" w14:textId="3EB73EFF" w:rsidR="000F14C2" w:rsidRPr="005F4061" w:rsidRDefault="00241179">
      <w:pPr>
        <w:pStyle w:val="ListParagraph"/>
        <w:numPr>
          <w:ilvl w:val="0"/>
          <w:numId w:val="10"/>
        </w:numPr>
        <w:spacing w:after="60" w:line="276" w:lineRule="auto"/>
      </w:pPr>
      <w:r w:rsidRPr="005F4061">
        <w:rPr>
          <w:b/>
          <w:bCs/>
        </w:rPr>
        <w:t xml:space="preserve">Train teachers, school leaders, and ICT personnel </w:t>
      </w:r>
      <w:r w:rsidRPr="005F4061">
        <w:t>in the new curriculum, the TEACH Secondary Digital tool</w:t>
      </w:r>
      <w:r w:rsidR="291C4847" w:rsidRPr="005F4061">
        <w:t xml:space="preserve"> (including </w:t>
      </w:r>
      <w:r w:rsidR="39725BE8" w:rsidRPr="005F4061">
        <w:t>observations in</w:t>
      </w:r>
      <w:r w:rsidR="291C4847" w:rsidRPr="005F4061">
        <w:t xml:space="preserve"> SEN classrooms</w:t>
      </w:r>
      <w:r w:rsidR="219A9FCF" w:rsidRPr="005F4061">
        <w:t xml:space="preserve"> on the functional curriculum</w:t>
      </w:r>
      <w:r w:rsidR="291C4847" w:rsidRPr="005F4061">
        <w:t>)</w:t>
      </w:r>
      <w:r w:rsidRPr="005F4061">
        <w:t xml:space="preserve">, and the LMS, using a training-of-trainers model; specific training needs to be identified in the inception report jointly with the taskforce. </w:t>
      </w:r>
    </w:p>
    <w:p w14:paraId="7DE5FE80" w14:textId="7F1ED85F" w:rsidR="000F14C2" w:rsidRPr="005F4061" w:rsidRDefault="00241179">
      <w:pPr>
        <w:pStyle w:val="ListParagraph"/>
        <w:numPr>
          <w:ilvl w:val="0"/>
          <w:numId w:val="10"/>
        </w:numPr>
        <w:spacing w:after="60" w:line="276" w:lineRule="auto"/>
      </w:pPr>
      <w:r w:rsidRPr="005F4061">
        <w:rPr>
          <w:b/>
          <w:bCs/>
        </w:rPr>
        <w:t>Deliver SEN- and TVET-specialized training,</w:t>
      </w:r>
      <w:r w:rsidRPr="005F4061">
        <w:t xml:space="preserve"> and build the assessment-units capacity in the respective MOEs, embedding planning tools in the Planning Division.</w:t>
      </w:r>
    </w:p>
    <w:p w14:paraId="5ACB7E35" w14:textId="77777777" w:rsidR="000F14C2" w:rsidRPr="005F4061" w:rsidRDefault="00241179">
      <w:pPr>
        <w:pStyle w:val="ListParagraph"/>
        <w:numPr>
          <w:ilvl w:val="0"/>
          <w:numId w:val="10"/>
        </w:numPr>
        <w:spacing w:after="60" w:line="276" w:lineRule="auto"/>
      </w:pPr>
      <w:r w:rsidRPr="005F4061">
        <w:rPr>
          <w:b/>
          <w:bCs/>
        </w:rPr>
        <w:t xml:space="preserve">Sensitize teachers, principals, students, parents, and the private sector </w:t>
      </w:r>
      <w:r w:rsidRPr="005F4061">
        <w:t>at each phase, using shared regional messaging tailored to each national context.</w:t>
      </w:r>
    </w:p>
    <w:p w14:paraId="672A6659" w14:textId="77777777" w:rsidR="000F14C2" w:rsidRPr="005F4061" w:rsidRDefault="00241179">
      <w:r w:rsidRPr="005F4061">
        <w:br w:type="page"/>
      </w:r>
    </w:p>
    <w:p w14:paraId="5AE21C95" w14:textId="77777777" w:rsidR="000F14C2" w:rsidRPr="005F4061" w:rsidRDefault="00241179">
      <w:pPr>
        <w:pStyle w:val="heading10"/>
      </w:pPr>
      <w:r w:rsidRPr="005F4061">
        <w:lastRenderedPageBreak/>
        <w:t>V.  Outcome-Based Milestones and Payment</w:t>
      </w:r>
    </w:p>
    <w:p w14:paraId="4F53B56A" w14:textId="395B5B40" w:rsidR="000F14C2" w:rsidRPr="005F4061" w:rsidRDefault="00241179">
      <w:pPr>
        <w:spacing w:after="120" w:line="276" w:lineRule="auto"/>
      </w:pPr>
      <w:r w:rsidRPr="005F4061">
        <w:t>Payment is tied to the achievement of outcomes, not to a long schedule of granular deliverables. The seven milestones below are common to both countries and contextualized for each. Joint milestones are delivered once with country-specific instances or annexes; each country pays its own weighted share through its Project Implementation Unit (PIU) upon acceptance, and each country's weights sum to 100 percent.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0"/>
        <w:gridCol w:w="5180"/>
        <w:gridCol w:w="1780"/>
        <w:gridCol w:w="1780"/>
      </w:tblGrid>
      <w:tr w:rsidR="000F14C2" w:rsidRPr="005F4061" w14:paraId="40BB3335" w14:textId="77777777" w:rsidTr="30294C2C">
        <w:trPr>
          <w:tblHeader/>
        </w:trPr>
        <w:tc>
          <w:tcPr>
            <w:tcW w:w="620" w:type="dxa"/>
            <w:tcBorders>
              <w:top w:val="single" w:sz="1" w:space="0" w:color="BBBBBB"/>
              <w:left w:val="single" w:sz="1" w:space="0" w:color="BBBBBB"/>
              <w:bottom w:val="single" w:sz="1" w:space="0" w:color="BBBBBB"/>
              <w:right w:val="single" w:sz="1" w:space="0" w:color="BBBBBB"/>
            </w:tcBorders>
            <w:shd w:val="clear" w:color="auto" w:fill="1F4E79"/>
            <w:tcMar>
              <w:top w:w="60" w:type="dxa"/>
              <w:left w:w="100" w:type="dxa"/>
              <w:bottom w:w="60" w:type="dxa"/>
              <w:right w:w="100" w:type="dxa"/>
            </w:tcMar>
            <w:vAlign w:val="center"/>
          </w:tcPr>
          <w:p w14:paraId="5AFC7B24" w14:textId="77777777" w:rsidR="000F14C2" w:rsidRPr="005F4061" w:rsidRDefault="00241179">
            <w:pPr>
              <w:spacing w:line="252" w:lineRule="auto"/>
              <w:jc w:val="center"/>
            </w:pPr>
            <w:r w:rsidRPr="005F4061">
              <w:rPr>
                <w:b/>
                <w:bCs/>
                <w:sz w:val="19"/>
                <w:szCs w:val="19"/>
              </w:rPr>
              <w:t>#</w:t>
            </w:r>
          </w:p>
        </w:tc>
        <w:tc>
          <w:tcPr>
            <w:tcW w:w="5180" w:type="dxa"/>
            <w:tcBorders>
              <w:top w:val="single" w:sz="1" w:space="0" w:color="BBBBBB"/>
              <w:left w:val="single" w:sz="1" w:space="0" w:color="BBBBBB"/>
              <w:bottom w:val="single" w:sz="1" w:space="0" w:color="BBBBBB"/>
              <w:right w:val="single" w:sz="1" w:space="0" w:color="BBBBBB"/>
            </w:tcBorders>
            <w:shd w:val="clear" w:color="auto" w:fill="1F4E79"/>
            <w:tcMar>
              <w:top w:w="60" w:type="dxa"/>
              <w:left w:w="100" w:type="dxa"/>
              <w:bottom w:w="60" w:type="dxa"/>
              <w:right w:w="100" w:type="dxa"/>
            </w:tcMar>
            <w:vAlign w:val="center"/>
          </w:tcPr>
          <w:p w14:paraId="495ED0DC" w14:textId="77777777" w:rsidR="000F14C2" w:rsidRPr="005F4061" w:rsidRDefault="00241179">
            <w:pPr>
              <w:spacing w:line="252" w:lineRule="auto"/>
            </w:pPr>
            <w:r w:rsidRPr="005F4061">
              <w:rPr>
                <w:b/>
                <w:bCs/>
                <w:sz w:val="19"/>
                <w:szCs w:val="19"/>
              </w:rPr>
              <w:t>Outcome Milestone</w:t>
            </w:r>
          </w:p>
        </w:tc>
        <w:tc>
          <w:tcPr>
            <w:tcW w:w="1780" w:type="dxa"/>
            <w:tcBorders>
              <w:top w:val="single" w:sz="1" w:space="0" w:color="BBBBBB"/>
              <w:left w:val="single" w:sz="1" w:space="0" w:color="BBBBBB"/>
              <w:bottom w:val="single" w:sz="1" w:space="0" w:color="BBBBBB"/>
              <w:right w:val="single" w:sz="1" w:space="0" w:color="BBBBBB"/>
            </w:tcBorders>
            <w:shd w:val="clear" w:color="auto" w:fill="1F4E79"/>
            <w:tcMar>
              <w:top w:w="60" w:type="dxa"/>
              <w:left w:w="100" w:type="dxa"/>
              <w:bottom w:w="60" w:type="dxa"/>
              <w:right w:w="100" w:type="dxa"/>
            </w:tcMar>
            <w:vAlign w:val="center"/>
          </w:tcPr>
          <w:p w14:paraId="1E2113AC" w14:textId="77777777" w:rsidR="000F14C2" w:rsidRPr="005F4061" w:rsidRDefault="00241179">
            <w:pPr>
              <w:spacing w:line="252" w:lineRule="auto"/>
              <w:jc w:val="center"/>
            </w:pPr>
            <w:r w:rsidRPr="005F4061">
              <w:rPr>
                <w:b/>
                <w:bCs/>
                <w:sz w:val="19"/>
                <w:szCs w:val="19"/>
              </w:rPr>
              <w:t>Dominica</w:t>
            </w:r>
          </w:p>
        </w:tc>
        <w:tc>
          <w:tcPr>
            <w:tcW w:w="1780" w:type="dxa"/>
            <w:tcBorders>
              <w:top w:val="single" w:sz="1" w:space="0" w:color="BBBBBB"/>
              <w:left w:val="single" w:sz="1" w:space="0" w:color="BBBBBB"/>
              <w:bottom w:val="single" w:sz="1" w:space="0" w:color="BBBBBB"/>
              <w:right w:val="single" w:sz="1" w:space="0" w:color="BBBBBB"/>
            </w:tcBorders>
            <w:shd w:val="clear" w:color="auto" w:fill="1F4E79"/>
            <w:tcMar>
              <w:top w:w="60" w:type="dxa"/>
              <w:left w:w="100" w:type="dxa"/>
              <w:bottom w:w="60" w:type="dxa"/>
              <w:right w:w="100" w:type="dxa"/>
            </w:tcMar>
            <w:vAlign w:val="center"/>
          </w:tcPr>
          <w:p w14:paraId="5D9F99F1" w14:textId="77777777" w:rsidR="000F14C2" w:rsidRPr="005F4061" w:rsidRDefault="00241179">
            <w:pPr>
              <w:spacing w:line="252" w:lineRule="auto"/>
              <w:jc w:val="center"/>
            </w:pPr>
            <w:r w:rsidRPr="005F4061">
              <w:rPr>
                <w:b/>
                <w:bCs/>
                <w:sz w:val="19"/>
                <w:szCs w:val="19"/>
              </w:rPr>
              <w:t>Grenada</w:t>
            </w:r>
          </w:p>
        </w:tc>
      </w:tr>
      <w:tr w:rsidR="000F14C2" w:rsidRPr="005F4061" w14:paraId="45BA9774" w14:textId="77777777" w:rsidTr="30294C2C">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vAlign w:val="center"/>
          </w:tcPr>
          <w:p w14:paraId="2F7375EA" w14:textId="77777777" w:rsidR="000F14C2" w:rsidRPr="005F4061" w:rsidRDefault="00241179">
            <w:pPr>
              <w:spacing w:line="252" w:lineRule="auto"/>
              <w:jc w:val="center"/>
            </w:pPr>
            <w:r w:rsidRPr="005F4061">
              <w:rPr>
                <w:sz w:val="19"/>
                <w:szCs w:val="19"/>
              </w:rPr>
              <w:t>M1</w:t>
            </w:r>
          </w:p>
        </w:tc>
        <w:tc>
          <w:tcPr>
            <w:tcW w:w="518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vAlign w:val="center"/>
          </w:tcPr>
          <w:p w14:paraId="79B86AF4" w14:textId="15427EDD" w:rsidR="000F14C2" w:rsidRPr="005F4061" w:rsidRDefault="00241179" w:rsidP="302DC3A9">
            <w:pPr>
              <w:spacing w:line="252" w:lineRule="auto"/>
              <w:rPr>
                <w:sz w:val="19"/>
                <w:szCs w:val="19"/>
              </w:rPr>
            </w:pPr>
            <w:r w:rsidRPr="005F4061">
              <w:rPr>
                <w:sz w:val="19"/>
                <w:szCs w:val="19"/>
              </w:rPr>
              <w:t>Inception</w:t>
            </w:r>
            <w:r w:rsidRPr="005F4061">
              <w:rPr>
                <w:rStyle w:val="FootnoteReference"/>
                <w:sz w:val="19"/>
                <w:szCs w:val="19"/>
              </w:rPr>
              <w:footnoteReference w:id="3"/>
            </w:r>
            <w:r w:rsidRPr="005F4061">
              <w:rPr>
                <w:sz w:val="19"/>
                <w:szCs w:val="19"/>
              </w:rPr>
              <w:t xml:space="preserve"> and shared design foundation — agreed methodology, work plan, consultation and desk-review findings, pilot scope, and country-specific annexes; TEACH Secondary Digital baseline planned.</w:t>
            </w:r>
          </w:p>
        </w:tc>
        <w:tc>
          <w:tcPr>
            <w:tcW w:w="178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vAlign w:val="center"/>
          </w:tcPr>
          <w:p w14:paraId="434B6B21" w14:textId="77777777" w:rsidR="000F14C2" w:rsidRPr="005F4061" w:rsidRDefault="00241179">
            <w:pPr>
              <w:spacing w:line="252" w:lineRule="auto"/>
              <w:jc w:val="center"/>
            </w:pPr>
            <w:r w:rsidRPr="005F4061">
              <w:rPr>
                <w:sz w:val="19"/>
                <w:szCs w:val="19"/>
              </w:rPr>
              <w:t>10%</w:t>
            </w:r>
          </w:p>
        </w:tc>
        <w:tc>
          <w:tcPr>
            <w:tcW w:w="178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vAlign w:val="center"/>
          </w:tcPr>
          <w:p w14:paraId="1AF31760" w14:textId="77777777" w:rsidR="000F14C2" w:rsidRPr="005F4061" w:rsidRDefault="00241179">
            <w:pPr>
              <w:spacing w:line="252" w:lineRule="auto"/>
              <w:jc w:val="center"/>
            </w:pPr>
            <w:r w:rsidRPr="005F4061">
              <w:rPr>
                <w:sz w:val="19"/>
                <w:szCs w:val="19"/>
              </w:rPr>
              <w:t>10%</w:t>
            </w:r>
          </w:p>
        </w:tc>
      </w:tr>
      <w:tr w:rsidR="000F14C2" w:rsidRPr="005F4061" w14:paraId="77C78A52" w14:textId="77777777" w:rsidTr="30294C2C">
        <w:tc>
          <w:tcPr>
            <w:tcW w:w="620" w:type="dxa"/>
            <w:tcBorders>
              <w:top w:val="single" w:sz="1" w:space="0" w:color="BBBBBB"/>
              <w:left w:val="single" w:sz="1" w:space="0" w:color="BBBBBB"/>
              <w:bottom w:val="single" w:sz="1" w:space="0" w:color="BBBBBB"/>
              <w:right w:val="single" w:sz="1" w:space="0" w:color="BBBBBB"/>
            </w:tcBorders>
            <w:shd w:val="clear" w:color="auto" w:fill="EAF1F8"/>
            <w:tcMar>
              <w:top w:w="60" w:type="dxa"/>
              <w:left w:w="100" w:type="dxa"/>
              <w:bottom w:w="60" w:type="dxa"/>
              <w:right w:w="100" w:type="dxa"/>
            </w:tcMar>
            <w:vAlign w:val="center"/>
          </w:tcPr>
          <w:p w14:paraId="32C77CCE" w14:textId="77777777" w:rsidR="000F14C2" w:rsidRPr="005F4061" w:rsidRDefault="00241179">
            <w:pPr>
              <w:spacing w:line="252" w:lineRule="auto"/>
              <w:jc w:val="center"/>
            </w:pPr>
            <w:r w:rsidRPr="005F4061">
              <w:rPr>
                <w:sz w:val="19"/>
                <w:szCs w:val="19"/>
              </w:rPr>
              <w:t>M2</w:t>
            </w:r>
          </w:p>
        </w:tc>
        <w:tc>
          <w:tcPr>
            <w:tcW w:w="5180" w:type="dxa"/>
            <w:tcBorders>
              <w:top w:val="single" w:sz="1" w:space="0" w:color="BBBBBB"/>
              <w:left w:val="single" w:sz="1" w:space="0" w:color="BBBBBB"/>
              <w:bottom w:val="single" w:sz="1" w:space="0" w:color="BBBBBB"/>
              <w:right w:val="single" w:sz="1" w:space="0" w:color="BBBBBB"/>
            </w:tcBorders>
            <w:shd w:val="clear" w:color="auto" w:fill="EAF1F8"/>
            <w:tcMar>
              <w:top w:w="60" w:type="dxa"/>
              <w:left w:w="100" w:type="dxa"/>
              <w:bottom w:w="60" w:type="dxa"/>
              <w:right w:w="100" w:type="dxa"/>
            </w:tcMar>
            <w:vAlign w:val="center"/>
          </w:tcPr>
          <w:p w14:paraId="581F9782" w14:textId="77777777" w:rsidR="000F14C2" w:rsidRPr="005F4061" w:rsidRDefault="00241179">
            <w:pPr>
              <w:spacing w:line="252" w:lineRule="auto"/>
            </w:pPr>
            <w:r w:rsidRPr="005F4061">
              <w:rPr>
                <w:sz w:val="19"/>
                <w:szCs w:val="19"/>
              </w:rPr>
              <w:t>Curriculum framework and learning outcomes agreed with each Technical Task Force — vision of the ideal graduate, priority outcomes, pedagogical approach, and core-subject confirmation.</w:t>
            </w:r>
          </w:p>
        </w:tc>
        <w:tc>
          <w:tcPr>
            <w:tcW w:w="1780" w:type="dxa"/>
            <w:tcBorders>
              <w:top w:val="single" w:sz="1" w:space="0" w:color="BBBBBB"/>
              <w:left w:val="single" w:sz="1" w:space="0" w:color="BBBBBB"/>
              <w:bottom w:val="single" w:sz="1" w:space="0" w:color="BBBBBB"/>
              <w:right w:val="single" w:sz="1" w:space="0" w:color="BBBBBB"/>
            </w:tcBorders>
            <w:shd w:val="clear" w:color="auto" w:fill="EAF1F8"/>
            <w:tcMar>
              <w:top w:w="60" w:type="dxa"/>
              <w:left w:w="100" w:type="dxa"/>
              <w:bottom w:w="60" w:type="dxa"/>
              <w:right w:w="100" w:type="dxa"/>
            </w:tcMar>
            <w:vAlign w:val="center"/>
          </w:tcPr>
          <w:p w14:paraId="75974B23" w14:textId="77777777" w:rsidR="000F14C2" w:rsidRPr="005F4061" w:rsidRDefault="00241179">
            <w:pPr>
              <w:spacing w:line="252" w:lineRule="auto"/>
              <w:jc w:val="center"/>
            </w:pPr>
            <w:r w:rsidRPr="005F4061">
              <w:rPr>
                <w:sz w:val="19"/>
                <w:szCs w:val="19"/>
              </w:rPr>
              <w:t>12%</w:t>
            </w:r>
          </w:p>
        </w:tc>
        <w:tc>
          <w:tcPr>
            <w:tcW w:w="1780" w:type="dxa"/>
            <w:tcBorders>
              <w:top w:val="single" w:sz="1" w:space="0" w:color="BBBBBB"/>
              <w:left w:val="single" w:sz="1" w:space="0" w:color="BBBBBB"/>
              <w:bottom w:val="single" w:sz="1" w:space="0" w:color="BBBBBB"/>
              <w:right w:val="single" w:sz="1" w:space="0" w:color="BBBBBB"/>
            </w:tcBorders>
            <w:shd w:val="clear" w:color="auto" w:fill="EAF1F8"/>
            <w:tcMar>
              <w:top w:w="60" w:type="dxa"/>
              <w:left w:w="100" w:type="dxa"/>
              <w:bottom w:w="60" w:type="dxa"/>
              <w:right w:w="100" w:type="dxa"/>
            </w:tcMar>
            <w:vAlign w:val="center"/>
          </w:tcPr>
          <w:p w14:paraId="45771F63" w14:textId="77777777" w:rsidR="000F14C2" w:rsidRPr="005F4061" w:rsidRDefault="00241179">
            <w:pPr>
              <w:spacing w:line="252" w:lineRule="auto"/>
              <w:jc w:val="center"/>
            </w:pPr>
            <w:r w:rsidRPr="005F4061">
              <w:rPr>
                <w:sz w:val="19"/>
                <w:szCs w:val="19"/>
              </w:rPr>
              <w:t>12%</w:t>
            </w:r>
          </w:p>
        </w:tc>
      </w:tr>
      <w:tr w:rsidR="000F14C2" w:rsidRPr="005F4061" w14:paraId="163F589D" w14:textId="77777777" w:rsidTr="30294C2C">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vAlign w:val="center"/>
          </w:tcPr>
          <w:p w14:paraId="2A55871B" w14:textId="77777777" w:rsidR="000F14C2" w:rsidRPr="005F4061" w:rsidRDefault="00241179">
            <w:pPr>
              <w:spacing w:line="252" w:lineRule="auto"/>
              <w:jc w:val="center"/>
            </w:pPr>
            <w:r w:rsidRPr="005F4061">
              <w:rPr>
                <w:sz w:val="19"/>
                <w:szCs w:val="19"/>
              </w:rPr>
              <w:t>M3</w:t>
            </w:r>
          </w:p>
        </w:tc>
        <w:tc>
          <w:tcPr>
            <w:tcW w:w="518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vAlign w:val="center"/>
          </w:tcPr>
          <w:p w14:paraId="07E4F25A" w14:textId="0AA331DF" w:rsidR="000F14C2" w:rsidRPr="005F4061" w:rsidRDefault="00241179">
            <w:pPr>
              <w:spacing w:line="252" w:lineRule="auto"/>
            </w:pPr>
            <w:r w:rsidRPr="005F4061">
              <w:rPr>
                <w:sz w:val="19"/>
                <w:szCs w:val="19"/>
              </w:rPr>
              <w:t xml:space="preserve">Subject curricula and learning resources developed — Dominica: </w:t>
            </w:r>
            <w:r w:rsidR="56ECDE58" w:rsidRPr="005F4061">
              <w:rPr>
                <w:sz w:val="19"/>
                <w:szCs w:val="19"/>
              </w:rPr>
              <w:t>10</w:t>
            </w:r>
            <w:r w:rsidRPr="005F4061">
              <w:rPr>
                <w:sz w:val="19"/>
                <w:szCs w:val="19"/>
              </w:rPr>
              <w:t xml:space="preserve">  subjects (Forms 1–3) and Grenada: </w:t>
            </w:r>
            <w:r w:rsidR="7DEA7F32" w:rsidRPr="005F4061">
              <w:rPr>
                <w:sz w:val="19"/>
                <w:szCs w:val="19"/>
              </w:rPr>
              <w:t>10</w:t>
            </w:r>
            <w:r w:rsidRPr="005F4061">
              <w:rPr>
                <w:sz w:val="19"/>
                <w:szCs w:val="19"/>
              </w:rPr>
              <w:t xml:space="preserve">  subjects (Forms 1–2) plus TVET strand and SEN functional curriculum;</w:t>
            </w:r>
          </w:p>
        </w:tc>
        <w:tc>
          <w:tcPr>
            <w:tcW w:w="178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vAlign w:val="center"/>
          </w:tcPr>
          <w:p w14:paraId="4CDC75CA" w14:textId="77777777" w:rsidR="000F14C2" w:rsidRPr="005F4061" w:rsidRDefault="00241179">
            <w:pPr>
              <w:spacing w:line="252" w:lineRule="auto"/>
              <w:jc w:val="center"/>
            </w:pPr>
            <w:r w:rsidRPr="005F4061">
              <w:rPr>
                <w:sz w:val="19"/>
                <w:szCs w:val="19"/>
              </w:rPr>
              <w:t>25%</w:t>
            </w:r>
          </w:p>
        </w:tc>
        <w:tc>
          <w:tcPr>
            <w:tcW w:w="178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vAlign w:val="center"/>
          </w:tcPr>
          <w:p w14:paraId="34DB2A6E" w14:textId="37547FED" w:rsidR="000F14C2" w:rsidRPr="005F4061" w:rsidRDefault="00B85A4F">
            <w:pPr>
              <w:spacing w:line="252" w:lineRule="auto"/>
              <w:jc w:val="center"/>
            </w:pPr>
            <w:r w:rsidRPr="005F4061">
              <w:rPr>
                <w:sz w:val="19"/>
                <w:szCs w:val="19"/>
              </w:rPr>
              <w:t>25%</w:t>
            </w:r>
          </w:p>
        </w:tc>
      </w:tr>
      <w:tr w:rsidR="000F14C2" w:rsidRPr="005F4061" w14:paraId="6CC97022" w14:textId="77777777" w:rsidTr="30294C2C">
        <w:tc>
          <w:tcPr>
            <w:tcW w:w="620" w:type="dxa"/>
            <w:tcBorders>
              <w:top w:val="single" w:sz="1" w:space="0" w:color="BBBBBB"/>
              <w:left w:val="single" w:sz="1" w:space="0" w:color="BBBBBB"/>
              <w:bottom w:val="single" w:sz="1" w:space="0" w:color="BBBBBB"/>
              <w:right w:val="single" w:sz="1" w:space="0" w:color="BBBBBB"/>
            </w:tcBorders>
            <w:shd w:val="clear" w:color="auto" w:fill="EAF1F8"/>
            <w:tcMar>
              <w:top w:w="60" w:type="dxa"/>
              <w:left w:w="100" w:type="dxa"/>
              <w:bottom w:w="60" w:type="dxa"/>
              <w:right w:w="100" w:type="dxa"/>
            </w:tcMar>
            <w:vAlign w:val="center"/>
          </w:tcPr>
          <w:p w14:paraId="3782E433" w14:textId="77777777" w:rsidR="000F14C2" w:rsidRPr="005F4061" w:rsidRDefault="00241179">
            <w:pPr>
              <w:spacing w:line="252" w:lineRule="auto"/>
              <w:jc w:val="center"/>
            </w:pPr>
            <w:r w:rsidRPr="005F4061">
              <w:rPr>
                <w:sz w:val="19"/>
                <w:szCs w:val="19"/>
              </w:rPr>
              <w:t>M4</w:t>
            </w:r>
          </w:p>
        </w:tc>
        <w:tc>
          <w:tcPr>
            <w:tcW w:w="5180" w:type="dxa"/>
            <w:tcBorders>
              <w:top w:val="single" w:sz="1" w:space="0" w:color="BBBBBB"/>
              <w:left w:val="single" w:sz="1" w:space="0" w:color="BBBBBB"/>
              <w:bottom w:val="single" w:sz="1" w:space="0" w:color="BBBBBB"/>
              <w:right w:val="single" w:sz="1" w:space="0" w:color="BBBBBB"/>
            </w:tcBorders>
            <w:shd w:val="clear" w:color="auto" w:fill="EAF1F8"/>
            <w:tcMar>
              <w:top w:w="60" w:type="dxa"/>
              <w:left w:w="100" w:type="dxa"/>
              <w:bottom w:w="60" w:type="dxa"/>
              <w:right w:w="100" w:type="dxa"/>
            </w:tcMar>
            <w:vAlign w:val="center"/>
          </w:tcPr>
          <w:p w14:paraId="2BA5C5C6" w14:textId="3181A08B" w:rsidR="000F14C2" w:rsidRPr="005F4061" w:rsidRDefault="00241179">
            <w:pPr>
              <w:spacing w:line="252" w:lineRule="auto"/>
            </w:pPr>
            <w:r w:rsidRPr="005F4061">
              <w:rPr>
                <w:sz w:val="19"/>
                <w:szCs w:val="19"/>
              </w:rPr>
              <w:t>National assessment capability built — national assessment strategy, implementation plan, item bank, and digital assessment library.</w:t>
            </w:r>
          </w:p>
        </w:tc>
        <w:tc>
          <w:tcPr>
            <w:tcW w:w="1780" w:type="dxa"/>
            <w:tcBorders>
              <w:top w:val="single" w:sz="1" w:space="0" w:color="BBBBBB"/>
              <w:left w:val="single" w:sz="1" w:space="0" w:color="BBBBBB"/>
              <w:bottom w:val="single" w:sz="1" w:space="0" w:color="BBBBBB"/>
              <w:right w:val="single" w:sz="1" w:space="0" w:color="BBBBBB"/>
            </w:tcBorders>
            <w:shd w:val="clear" w:color="auto" w:fill="EAF1F8"/>
            <w:tcMar>
              <w:top w:w="60" w:type="dxa"/>
              <w:left w:w="100" w:type="dxa"/>
              <w:bottom w:w="60" w:type="dxa"/>
              <w:right w:w="100" w:type="dxa"/>
            </w:tcMar>
            <w:vAlign w:val="center"/>
          </w:tcPr>
          <w:p w14:paraId="5579621B" w14:textId="77777777" w:rsidR="000F14C2" w:rsidRPr="005F4061" w:rsidRDefault="00241179">
            <w:pPr>
              <w:spacing w:line="252" w:lineRule="auto"/>
              <w:jc w:val="center"/>
            </w:pPr>
            <w:r w:rsidRPr="005F4061">
              <w:rPr>
                <w:sz w:val="19"/>
                <w:szCs w:val="19"/>
              </w:rPr>
              <w:t>8%</w:t>
            </w:r>
          </w:p>
        </w:tc>
        <w:tc>
          <w:tcPr>
            <w:tcW w:w="1780" w:type="dxa"/>
            <w:tcBorders>
              <w:top w:val="single" w:sz="1" w:space="0" w:color="BBBBBB"/>
              <w:left w:val="single" w:sz="1" w:space="0" w:color="BBBBBB"/>
              <w:bottom w:val="single" w:sz="1" w:space="0" w:color="BBBBBB"/>
              <w:right w:val="single" w:sz="1" w:space="0" w:color="BBBBBB"/>
            </w:tcBorders>
            <w:shd w:val="clear" w:color="auto" w:fill="EAF1F8"/>
            <w:tcMar>
              <w:top w:w="60" w:type="dxa"/>
              <w:left w:w="100" w:type="dxa"/>
              <w:bottom w:w="60" w:type="dxa"/>
              <w:right w:w="100" w:type="dxa"/>
            </w:tcMar>
            <w:vAlign w:val="center"/>
          </w:tcPr>
          <w:p w14:paraId="78981D12" w14:textId="65B3A219" w:rsidR="000F14C2" w:rsidRPr="005F4061" w:rsidRDefault="00B85A4F">
            <w:pPr>
              <w:spacing w:line="252" w:lineRule="auto"/>
              <w:jc w:val="center"/>
            </w:pPr>
            <w:r w:rsidRPr="005F4061">
              <w:rPr>
                <w:sz w:val="19"/>
                <w:szCs w:val="19"/>
              </w:rPr>
              <w:t>8%</w:t>
            </w:r>
          </w:p>
        </w:tc>
      </w:tr>
      <w:tr w:rsidR="000F14C2" w:rsidRPr="005F4061" w14:paraId="6824F727" w14:textId="77777777" w:rsidTr="30294C2C">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vAlign w:val="center"/>
          </w:tcPr>
          <w:p w14:paraId="16A886DC" w14:textId="77777777" w:rsidR="000F14C2" w:rsidRPr="005F4061" w:rsidRDefault="00241179">
            <w:pPr>
              <w:spacing w:line="252" w:lineRule="auto"/>
              <w:jc w:val="center"/>
            </w:pPr>
            <w:r w:rsidRPr="005F4061">
              <w:rPr>
                <w:sz w:val="19"/>
                <w:szCs w:val="19"/>
              </w:rPr>
              <w:t>M5</w:t>
            </w:r>
          </w:p>
        </w:tc>
        <w:tc>
          <w:tcPr>
            <w:tcW w:w="518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vAlign w:val="center"/>
          </w:tcPr>
          <w:p w14:paraId="46FEDC00" w14:textId="77777777" w:rsidR="000F14C2" w:rsidRPr="005F4061" w:rsidRDefault="00241179">
            <w:pPr>
              <w:spacing w:line="252" w:lineRule="auto"/>
            </w:pPr>
            <w:r w:rsidRPr="005F4061">
              <w:rPr>
                <w:sz w:val="19"/>
                <w:szCs w:val="19"/>
              </w:rPr>
              <w:t>Digital delivery enabled — curriculum and assessment resources hosted on a shared LMS leveraging existing regional/PEARL platforms, with country-specific instances.</w:t>
            </w:r>
          </w:p>
        </w:tc>
        <w:tc>
          <w:tcPr>
            <w:tcW w:w="178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vAlign w:val="center"/>
          </w:tcPr>
          <w:p w14:paraId="20A75972" w14:textId="77777777" w:rsidR="000F14C2" w:rsidRPr="005F4061" w:rsidRDefault="00241179">
            <w:pPr>
              <w:spacing w:line="252" w:lineRule="auto"/>
              <w:jc w:val="center"/>
            </w:pPr>
            <w:r w:rsidRPr="005F4061">
              <w:rPr>
                <w:sz w:val="19"/>
                <w:szCs w:val="19"/>
              </w:rPr>
              <w:t>12%</w:t>
            </w:r>
          </w:p>
        </w:tc>
        <w:tc>
          <w:tcPr>
            <w:tcW w:w="178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vAlign w:val="center"/>
          </w:tcPr>
          <w:p w14:paraId="6479ABD5" w14:textId="3F2C053B" w:rsidR="000F14C2" w:rsidRPr="005F4061" w:rsidRDefault="00241179">
            <w:pPr>
              <w:spacing w:line="252" w:lineRule="auto"/>
              <w:jc w:val="center"/>
            </w:pPr>
            <w:r w:rsidRPr="005F4061">
              <w:rPr>
                <w:sz w:val="19"/>
                <w:szCs w:val="19"/>
              </w:rPr>
              <w:t>12%</w:t>
            </w:r>
          </w:p>
        </w:tc>
      </w:tr>
      <w:tr w:rsidR="000F14C2" w:rsidRPr="005F4061" w14:paraId="5648E583" w14:textId="77777777" w:rsidTr="30294C2C">
        <w:tc>
          <w:tcPr>
            <w:tcW w:w="620" w:type="dxa"/>
            <w:tcBorders>
              <w:top w:val="single" w:sz="1" w:space="0" w:color="BBBBBB"/>
              <w:left w:val="single" w:sz="1" w:space="0" w:color="BBBBBB"/>
              <w:bottom w:val="single" w:sz="1" w:space="0" w:color="BBBBBB"/>
              <w:right w:val="single" w:sz="1" w:space="0" w:color="BBBBBB"/>
            </w:tcBorders>
            <w:shd w:val="clear" w:color="auto" w:fill="EAF1F8"/>
            <w:tcMar>
              <w:top w:w="60" w:type="dxa"/>
              <w:left w:w="100" w:type="dxa"/>
              <w:bottom w:w="60" w:type="dxa"/>
              <w:right w:w="100" w:type="dxa"/>
            </w:tcMar>
            <w:vAlign w:val="center"/>
          </w:tcPr>
          <w:p w14:paraId="43D7B282" w14:textId="77777777" w:rsidR="000F14C2" w:rsidRPr="005F4061" w:rsidRDefault="00241179">
            <w:pPr>
              <w:spacing w:line="252" w:lineRule="auto"/>
              <w:jc w:val="center"/>
            </w:pPr>
            <w:r w:rsidRPr="005F4061">
              <w:rPr>
                <w:sz w:val="19"/>
                <w:szCs w:val="19"/>
              </w:rPr>
              <w:t>M6</w:t>
            </w:r>
          </w:p>
        </w:tc>
        <w:tc>
          <w:tcPr>
            <w:tcW w:w="5180" w:type="dxa"/>
            <w:tcBorders>
              <w:top w:val="single" w:sz="1" w:space="0" w:color="BBBBBB"/>
              <w:left w:val="single" w:sz="1" w:space="0" w:color="BBBBBB"/>
              <w:bottom w:val="single" w:sz="1" w:space="0" w:color="BBBBBB"/>
              <w:right w:val="single" w:sz="1" w:space="0" w:color="BBBBBB"/>
            </w:tcBorders>
            <w:shd w:val="clear" w:color="auto" w:fill="EAF1F8"/>
            <w:tcMar>
              <w:top w:w="60" w:type="dxa"/>
              <w:left w:w="100" w:type="dxa"/>
              <w:bottom w:w="60" w:type="dxa"/>
              <w:right w:w="100" w:type="dxa"/>
            </w:tcMar>
            <w:vAlign w:val="center"/>
          </w:tcPr>
          <w:p w14:paraId="466280EE" w14:textId="0B8D03CA" w:rsidR="000F14C2" w:rsidRPr="005F4061" w:rsidRDefault="00241179">
            <w:pPr>
              <w:spacing w:line="252" w:lineRule="auto"/>
            </w:pPr>
            <w:r w:rsidRPr="005F4061">
              <w:rPr>
                <w:sz w:val="19"/>
                <w:szCs w:val="19"/>
              </w:rPr>
              <w:t>Piloted, evaluated, and refined — pilot</w:t>
            </w:r>
            <w:r w:rsidR="680B0A01" w:rsidRPr="005F4061">
              <w:rPr>
                <w:sz w:val="19"/>
                <w:szCs w:val="19"/>
              </w:rPr>
              <w:t xml:space="preserve"> (academic curriculum and functional curriculum)</w:t>
            </w:r>
            <w:r w:rsidRPr="005F4061">
              <w:rPr>
                <w:sz w:val="19"/>
                <w:szCs w:val="19"/>
              </w:rPr>
              <w:t xml:space="preserve"> in selected schools (≥2 terms), TEACH Secondary</w:t>
            </w:r>
            <w:r w:rsidR="3EDA05BA" w:rsidRPr="005F4061">
              <w:rPr>
                <w:sz w:val="19"/>
                <w:szCs w:val="19"/>
              </w:rPr>
              <w:t xml:space="preserve"> Digital</w:t>
            </w:r>
            <w:r w:rsidRPr="005F4061">
              <w:rPr>
                <w:sz w:val="19"/>
                <w:szCs w:val="19"/>
              </w:rPr>
              <w:t xml:space="preserve"> monitoring, qualitative research, and curriculum/assessment revision on pilot evidence.</w:t>
            </w:r>
          </w:p>
        </w:tc>
        <w:tc>
          <w:tcPr>
            <w:tcW w:w="1780" w:type="dxa"/>
            <w:tcBorders>
              <w:top w:val="single" w:sz="1" w:space="0" w:color="BBBBBB"/>
              <w:left w:val="single" w:sz="1" w:space="0" w:color="BBBBBB"/>
              <w:bottom w:val="single" w:sz="1" w:space="0" w:color="BBBBBB"/>
              <w:right w:val="single" w:sz="1" w:space="0" w:color="BBBBBB"/>
            </w:tcBorders>
            <w:shd w:val="clear" w:color="auto" w:fill="EAF1F8"/>
            <w:tcMar>
              <w:top w:w="60" w:type="dxa"/>
              <w:left w:w="100" w:type="dxa"/>
              <w:bottom w:w="60" w:type="dxa"/>
              <w:right w:w="100" w:type="dxa"/>
            </w:tcMar>
            <w:vAlign w:val="center"/>
          </w:tcPr>
          <w:p w14:paraId="0AE39B76" w14:textId="77777777" w:rsidR="000F14C2" w:rsidRPr="005F4061" w:rsidRDefault="00241179">
            <w:pPr>
              <w:spacing w:line="252" w:lineRule="auto"/>
              <w:jc w:val="center"/>
            </w:pPr>
            <w:r w:rsidRPr="005F4061">
              <w:rPr>
                <w:sz w:val="19"/>
                <w:szCs w:val="19"/>
              </w:rPr>
              <w:t>18%</w:t>
            </w:r>
          </w:p>
        </w:tc>
        <w:tc>
          <w:tcPr>
            <w:tcW w:w="1780" w:type="dxa"/>
            <w:tcBorders>
              <w:top w:val="single" w:sz="1" w:space="0" w:color="BBBBBB"/>
              <w:left w:val="single" w:sz="1" w:space="0" w:color="BBBBBB"/>
              <w:bottom w:val="single" w:sz="1" w:space="0" w:color="BBBBBB"/>
              <w:right w:val="single" w:sz="1" w:space="0" w:color="BBBBBB"/>
            </w:tcBorders>
            <w:shd w:val="clear" w:color="auto" w:fill="EAF1F8"/>
            <w:tcMar>
              <w:top w:w="60" w:type="dxa"/>
              <w:left w:w="100" w:type="dxa"/>
              <w:bottom w:w="60" w:type="dxa"/>
              <w:right w:w="100" w:type="dxa"/>
            </w:tcMar>
            <w:vAlign w:val="center"/>
          </w:tcPr>
          <w:p w14:paraId="2FFC5AE4" w14:textId="7FD2B9D6" w:rsidR="000F14C2" w:rsidRPr="005F4061" w:rsidRDefault="00241179">
            <w:pPr>
              <w:spacing w:line="252" w:lineRule="auto"/>
              <w:jc w:val="center"/>
            </w:pPr>
            <w:r w:rsidRPr="005F4061">
              <w:rPr>
                <w:sz w:val="19"/>
                <w:szCs w:val="19"/>
              </w:rPr>
              <w:t>18%</w:t>
            </w:r>
          </w:p>
        </w:tc>
      </w:tr>
      <w:tr w:rsidR="000F14C2" w:rsidRPr="005F4061" w14:paraId="2AA642DD" w14:textId="77777777" w:rsidTr="30294C2C">
        <w:tc>
          <w:tcPr>
            <w:tcW w:w="62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vAlign w:val="center"/>
          </w:tcPr>
          <w:p w14:paraId="286C0588" w14:textId="77777777" w:rsidR="000F14C2" w:rsidRPr="005F4061" w:rsidRDefault="00241179">
            <w:pPr>
              <w:spacing w:line="252" w:lineRule="auto"/>
              <w:jc w:val="center"/>
            </w:pPr>
            <w:r w:rsidRPr="005F4061">
              <w:rPr>
                <w:sz w:val="19"/>
                <w:szCs w:val="19"/>
              </w:rPr>
              <w:t>M7</w:t>
            </w:r>
          </w:p>
        </w:tc>
        <w:tc>
          <w:tcPr>
            <w:tcW w:w="518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vAlign w:val="center"/>
          </w:tcPr>
          <w:p w14:paraId="6C5733EE" w14:textId="77777777" w:rsidR="000F14C2" w:rsidRPr="005F4061" w:rsidRDefault="00241179">
            <w:pPr>
              <w:spacing w:line="252" w:lineRule="auto"/>
            </w:pPr>
            <w:r w:rsidRPr="005F4061">
              <w:rPr>
                <w:sz w:val="19"/>
                <w:szCs w:val="19"/>
              </w:rPr>
              <w:t>Local capacity and sustainability secured — certified national developers and officers, trained teachers and leaders, embedded planning tools, final rollout guidelines, and sustainability plan.</w:t>
            </w:r>
          </w:p>
        </w:tc>
        <w:tc>
          <w:tcPr>
            <w:tcW w:w="178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vAlign w:val="center"/>
          </w:tcPr>
          <w:p w14:paraId="33E27760" w14:textId="77777777" w:rsidR="000F14C2" w:rsidRPr="005F4061" w:rsidRDefault="00241179">
            <w:pPr>
              <w:spacing w:line="252" w:lineRule="auto"/>
              <w:jc w:val="center"/>
            </w:pPr>
            <w:r w:rsidRPr="005F4061">
              <w:rPr>
                <w:sz w:val="19"/>
                <w:szCs w:val="19"/>
              </w:rPr>
              <w:t>15%</w:t>
            </w:r>
          </w:p>
        </w:tc>
        <w:tc>
          <w:tcPr>
            <w:tcW w:w="1780" w:type="dxa"/>
            <w:tcBorders>
              <w:top w:val="single" w:sz="1" w:space="0" w:color="BBBBBB"/>
              <w:left w:val="single" w:sz="1" w:space="0" w:color="BBBBBB"/>
              <w:bottom w:val="single" w:sz="1" w:space="0" w:color="BBBBBB"/>
              <w:right w:val="single" w:sz="1" w:space="0" w:color="BBBBBB"/>
            </w:tcBorders>
            <w:tcMar>
              <w:top w:w="60" w:type="dxa"/>
              <w:left w:w="100" w:type="dxa"/>
              <w:bottom w:w="60" w:type="dxa"/>
              <w:right w:w="100" w:type="dxa"/>
            </w:tcMar>
            <w:vAlign w:val="center"/>
          </w:tcPr>
          <w:p w14:paraId="6861B118" w14:textId="77777777" w:rsidR="000F14C2" w:rsidRPr="005F4061" w:rsidRDefault="00241179">
            <w:pPr>
              <w:spacing w:line="252" w:lineRule="auto"/>
              <w:jc w:val="center"/>
            </w:pPr>
            <w:r w:rsidRPr="005F4061">
              <w:rPr>
                <w:sz w:val="19"/>
                <w:szCs w:val="19"/>
              </w:rPr>
              <w:t>15%</w:t>
            </w:r>
          </w:p>
        </w:tc>
      </w:tr>
      <w:tr w:rsidR="000F14C2" w:rsidRPr="005F4061" w14:paraId="641B1F60" w14:textId="77777777" w:rsidTr="30294C2C">
        <w:tc>
          <w:tcPr>
            <w:tcW w:w="620" w:type="dxa"/>
            <w:tcBorders>
              <w:top w:val="single" w:sz="1" w:space="0" w:color="BBBBBB"/>
              <w:left w:val="single" w:sz="1" w:space="0" w:color="BBBBBB"/>
              <w:bottom w:val="single" w:sz="1" w:space="0" w:color="BBBBBB"/>
              <w:right w:val="single" w:sz="1" w:space="0" w:color="BBBBBB"/>
            </w:tcBorders>
            <w:shd w:val="clear" w:color="auto" w:fill="D5E8F0"/>
            <w:tcMar>
              <w:top w:w="60" w:type="dxa"/>
              <w:left w:w="100" w:type="dxa"/>
              <w:bottom w:w="60" w:type="dxa"/>
              <w:right w:w="100" w:type="dxa"/>
            </w:tcMar>
            <w:vAlign w:val="center"/>
          </w:tcPr>
          <w:p w14:paraId="0A37501D" w14:textId="77777777" w:rsidR="000F14C2" w:rsidRPr="005F4061" w:rsidRDefault="000F14C2">
            <w:pPr>
              <w:spacing w:line="252" w:lineRule="auto"/>
            </w:pPr>
          </w:p>
        </w:tc>
        <w:tc>
          <w:tcPr>
            <w:tcW w:w="5180" w:type="dxa"/>
            <w:tcBorders>
              <w:top w:val="single" w:sz="1" w:space="0" w:color="BBBBBB"/>
              <w:left w:val="single" w:sz="1" w:space="0" w:color="BBBBBB"/>
              <w:bottom w:val="single" w:sz="1" w:space="0" w:color="BBBBBB"/>
              <w:right w:val="single" w:sz="1" w:space="0" w:color="BBBBBB"/>
            </w:tcBorders>
            <w:shd w:val="clear" w:color="auto" w:fill="D5E8F0"/>
            <w:tcMar>
              <w:top w:w="60" w:type="dxa"/>
              <w:left w:w="100" w:type="dxa"/>
              <w:bottom w:w="60" w:type="dxa"/>
              <w:right w:w="100" w:type="dxa"/>
            </w:tcMar>
            <w:vAlign w:val="center"/>
          </w:tcPr>
          <w:p w14:paraId="4BF53985" w14:textId="77777777" w:rsidR="000F14C2" w:rsidRPr="005F4061" w:rsidRDefault="00241179">
            <w:pPr>
              <w:spacing w:line="252" w:lineRule="auto"/>
            </w:pPr>
            <w:r w:rsidRPr="005F4061">
              <w:rPr>
                <w:b/>
                <w:bCs/>
                <w:sz w:val="19"/>
                <w:szCs w:val="19"/>
              </w:rPr>
              <w:t>TOTAL</w:t>
            </w:r>
          </w:p>
        </w:tc>
        <w:tc>
          <w:tcPr>
            <w:tcW w:w="1780" w:type="dxa"/>
            <w:tcBorders>
              <w:top w:val="single" w:sz="1" w:space="0" w:color="BBBBBB"/>
              <w:left w:val="single" w:sz="1" w:space="0" w:color="BBBBBB"/>
              <w:bottom w:val="single" w:sz="1" w:space="0" w:color="BBBBBB"/>
              <w:right w:val="single" w:sz="1" w:space="0" w:color="BBBBBB"/>
            </w:tcBorders>
            <w:shd w:val="clear" w:color="auto" w:fill="D5E8F0"/>
            <w:tcMar>
              <w:top w:w="60" w:type="dxa"/>
              <w:left w:w="100" w:type="dxa"/>
              <w:bottom w:w="60" w:type="dxa"/>
              <w:right w:w="100" w:type="dxa"/>
            </w:tcMar>
            <w:vAlign w:val="center"/>
          </w:tcPr>
          <w:p w14:paraId="135237C8" w14:textId="77777777" w:rsidR="000F14C2" w:rsidRPr="005F4061" w:rsidRDefault="00241179">
            <w:pPr>
              <w:spacing w:line="252" w:lineRule="auto"/>
              <w:jc w:val="center"/>
            </w:pPr>
            <w:r w:rsidRPr="005F4061">
              <w:rPr>
                <w:b/>
                <w:bCs/>
                <w:sz w:val="19"/>
                <w:szCs w:val="19"/>
              </w:rPr>
              <w:t>100%</w:t>
            </w:r>
          </w:p>
        </w:tc>
        <w:tc>
          <w:tcPr>
            <w:tcW w:w="1780" w:type="dxa"/>
            <w:tcBorders>
              <w:top w:val="single" w:sz="1" w:space="0" w:color="BBBBBB"/>
              <w:left w:val="single" w:sz="1" w:space="0" w:color="BBBBBB"/>
              <w:bottom w:val="single" w:sz="1" w:space="0" w:color="BBBBBB"/>
              <w:right w:val="single" w:sz="1" w:space="0" w:color="BBBBBB"/>
            </w:tcBorders>
            <w:shd w:val="clear" w:color="auto" w:fill="D5E8F0"/>
            <w:tcMar>
              <w:top w:w="60" w:type="dxa"/>
              <w:left w:w="100" w:type="dxa"/>
              <w:bottom w:w="60" w:type="dxa"/>
              <w:right w:w="100" w:type="dxa"/>
            </w:tcMar>
            <w:vAlign w:val="center"/>
          </w:tcPr>
          <w:p w14:paraId="3F393A7F" w14:textId="77777777" w:rsidR="000F14C2" w:rsidRPr="005F4061" w:rsidRDefault="00241179">
            <w:pPr>
              <w:spacing w:line="252" w:lineRule="auto"/>
              <w:jc w:val="center"/>
            </w:pPr>
            <w:r w:rsidRPr="005F4061">
              <w:rPr>
                <w:b/>
                <w:bCs/>
                <w:sz w:val="19"/>
                <w:szCs w:val="19"/>
              </w:rPr>
              <w:t>100%</w:t>
            </w:r>
          </w:p>
        </w:tc>
      </w:tr>
    </w:tbl>
    <w:p w14:paraId="0F2E8F8E" w14:textId="5BD62558" w:rsidR="000F14C2" w:rsidRPr="005F4061" w:rsidRDefault="00241179">
      <w:pPr>
        <w:spacing w:before="80"/>
      </w:pPr>
      <w:r w:rsidRPr="005F4061">
        <w:rPr>
          <w:i/>
          <w:iCs/>
          <w:color w:val="555555"/>
          <w:sz w:val="19"/>
          <w:szCs w:val="19"/>
        </w:rPr>
        <w:t>Acceptance of each milestone is subject to quality assurance by the relevant National Technical Task Force and approval by the Permanent Secretary (or delegate) through the respective PIU. Approvals are required to process payments for all deliverables.</w:t>
      </w:r>
    </w:p>
    <w:p w14:paraId="2A36A923" w14:textId="77777777" w:rsidR="00BB3E6A" w:rsidRPr="005F4061" w:rsidRDefault="00B7300E">
      <w:pPr>
        <w:pStyle w:val="heading20"/>
        <w:spacing w:before="200"/>
      </w:pPr>
      <w:r w:rsidRPr="005F4061">
        <w:t>Expected Deliverables, Outputs, and Acceptance Criteria</w:t>
      </w:r>
    </w:p>
    <w:p w14:paraId="0E035FBC" w14:textId="77777777" w:rsidR="00BB3E6A" w:rsidRPr="005F4061" w:rsidRDefault="00B7300E">
      <w:pPr>
        <w:spacing w:after="120" w:line="276" w:lineRule="auto"/>
      </w:pPr>
      <w:r w:rsidRPr="005F4061">
        <w:t>The table below complements the milestones above by specifying, for each milestone, the tangible deliverable, the outputs to be submitted, and the criteria against which they will be verified and approved. Each milestone payment is processed only upon written acceptance of the corresponding deliverable(s) by the relevant National Technical Task Force and the Permanent Secretary (or delegate) through the respective PIU. For each deliverable, bidders must price shared versus country-specific costs separately, in line with the binding requirement in Section III.4.</w:t>
      </w:r>
    </w:p>
    <w:tbl>
      <w:tblPr>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0"/>
        <w:gridCol w:w="1450"/>
        <w:gridCol w:w="3050"/>
        <w:gridCol w:w="2780"/>
        <w:gridCol w:w="1819"/>
      </w:tblGrid>
      <w:tr w:rsidR="00BB3E6A" w:rsidRPr="005F4061" w14:paraId="453DC192" w14:textId="77777777" w:rsidTr="30294C2C">
        <w:trPr>
          <w:tblHeader/>
        </w:trPr>
        <w:tc>
          <w:tcPr>
            <w:tcW w:w="620" w:type="dxa"/>
            <w:tcBorders>
              <w:top w:val="single" w:sz="1" w:space="0" w:color="BBBBBB"/>
              <w:left w:val="single" w:sz="1" w:space="0" w:color="BBBBBB"/>
              <w:bottom w:val="single" w:sz="1" w:space="0" w:color="BBBBBB"/>
              <w:right w:val="single" w:sz="1" w:space="0" w:color="BBBBBB"/>
            </w:tcBorders>
            <w:shd w:val="clear" w:color="auto" w:fill="1F4E79"/>
            <w:tcMar>
              <w:top w:w="50" w:type="dxa"/>
              <w:left w:w="90" w:type="dxa"/>
              <w:bottom w:w="50" w:type="dxa"/>
              <w:right w:w="90" w:type="dxa"/>
            </w:tcMar>
            <w:vAlign w:val="center"/>
          </w:tcPr>
          <w:p w14:paraId="327C75BB" w14:textId="77777777" w:rsidR="00BB3E6A" w:rsidRPr="005F4061" w:rsidRDefault="00B7300E">
            <w:pPr>
              <w:jc w:val="center"/>
              <w:rPr>
                <w:b/>
                <w:bCs/>
                <w:color w:val="FFFFFF"/>
                <w:sz w:val="19"/>
                <w:szCs w:val="19"/>
              </w:rPr>
            </w:pPr>
            <w:r w:rsidRPr="005F4061">
              <w:rPr>
                <w:b/>
                <w:bCs/>
                <w:color w:val="FFFFFF"/>
                <w:sz w:val="19"/>
                <w:szCs w:val="19"/>
              </w:rPr>
              <w:t>#</w:t>
            </w:r>
          </w:p>
        </w:tc>
        <w:tc>
          <w:tcPr>
            <w:tcW w:w="1450" w:type="dxa"/>
            <w:tcBorders>
              <w:top w:val="single" w:sz="1" w:space="0" w:color="BBBBBB"/>
              <w:left w:val="single" w:sz="1" w:space="0" w:color="BBBBBB"/>
              <w:bottom w:val="single" w:sz="1" w:space="0" w:color="BBBBBB"/>
              <w:right w:val="single" w:sz="1" w:space="0" w:color="BBBBBB"/>
            </w:tcBorders>
            <w:shd w:val="clear" w:color="auto" w:fill="1F4E79"/>
            <w:tcMar>
              <w:top w:w="50" w:type="dxa"/>
              <w:left w:w="90" w:type="dxa"/>
              <w:bottom w:w="50" w:type="dxa"/>
              <w:right w:w="90" w:type="dxa"/>
            </w:tcMar>
            <w:vAlign w:val="center"/>
          </w:tcPr>
          <w:p w14:paraId="6BBD56E1" w14:textId="77777777" w:rsidR="00BB3E6A" w:rsidRPr="005F4061" w:rsidRDefault="00B7300E">
            <w:pPr>
              <w:rPr>
                <w:b/>
                <w:bCs/>
                <w:color w:val="FFFFFF"/>
                <w:sz w:val="19"/>
                <w:szCs w:val="19"/>
              </w:rPr>
            </w:pPr>
            <w:r w:rsidRPr="005F4061">
              <w:rPr>
                <w:b/>
                <w:bCs/>
                <w:color w:val="FFFFFF"/>
                <w:sz w:val="19"/>
                <w:szCs w:val="19"/>
              </w:rPr>
              <w:t>Deliverable</w:t>
            </w:r>
          </w:p>
        </w:tc>
        <w:tc>
          <w:tcPr>
            <w:tcW w:w="3050" w:type="dxa"/>
            <w:tcBorders>
              <w:top w:val="single" w:sz="1" w:space="0" w:color="BBBBBB"/>
              <w:left w:val="single" w:sz="1" w:space="0" w:color="BBBBBB"/>
              <w:bottom w:val="single" w:sz="1" w:space="0" w:color="BBBBBB"/>
              <w:right w:val="single" w:sz="1" w:space="0" w:color="BBBBBB"/>
            </w:tcBorders>
            <w:shd w:val="clear" w:color="auto" w:fill="1F4E79"/>
            <w:tcMar>
              <w:top w:w="50" w:type="dxa"/>
              <w:left w:w="90" w:type="dxa"/>
              <w:bottom w:w="50" w:type="dxa"/>
              <w:right w:w="90" w:type="dxa"/>
            </w:tcMar>
            <w:vAlign w:val="center"/>
          </w:tcPr>
          <w:p w14:paraId="59BAEEAC" w14:textId="77777777" w:rsidR="00BB3E6A" w:rsidRPr="005F4061" w:rsidRDefault="00B7300E">
            <w:pPr>
              <w:rPr>
                <w:b/>
                <w:bCs/>
                <w:color w:val="FFFFFF"/>
                <w:sz w:val="19"/>
                <w:szCs w:val="19"/>
              </w:rPr>
            </w:pPr>
            <w:r w:rsidRPr="005F4061">
              <w:rPr>
                <w:b/>
                <w:bCs/>
                <w:color w:val="FFFFFF"/>
                <w:sz w:val="19"/>
                <w:szCs w:val="19"/>
              </w:rPr>
              <w:t>Tangible outputs submitted</w:t>
            </w:r>
          </w:p>
        </w:tc>
        <w:tc>
          <w:tcPr>
            <w:tcW w:w="2780" w:type="dxa"/>
            <w:tcBorders>
              <w:top w:val="single" w:sz="1" w:space="0" w:color="BBBBBB"/>
              <w:left w:val="single" w:sz="1" w:space="0" w:color="BBBBBB"/>
              <w:bottom w:val="single" w:sz="1" w:space="0" w:color="BBBBBB"/>
              <w:right w:val="single" w:sz="1" w:space="0" w:color="BBBBBB"/>
            </w:tcBorders>
            <w:shd w:val="clear" w:color="auto" w:fill="1F4E79"/>
            <w:tcMar>
              <w:top w:w="50" w:type="dxa"/>
              <w:left w:w="90" w:type="dxa"/>
              <w:bottom w:w="50" w:type="dxa"/>
              <w:right w:w="90" w:type="dxa"/>
            </w:tcMar>
            <w:vAlign w:val="center"/>
          </w:tcPr>
          <w:p w14:paraId="73631CEA" w14:textId="77777777" w:rsidR="00BB3E6A" w:rsidRPr="005F4061" w:rsidRDefault="00B7300E">
            <w:pPr>
              <w:rPr>
                <w:b/>
                <w:bCs/>
                <w:color w:val="FFFFFF"/>
                <w:sz w:val="19"/>
                <w:szCs w:val="19"/>
              </w:rPr>
            </w:pPr>
            <w:r w:rsidRPr="005F4061">
              <w:rPr>
                <w:b/>
                <w:bCs/>
                <w:color w:val="FFFFFF"/>
                <w:sz w:val="19"/>
                <w:szCs w:val="19"/>
              </w:rPr>
              <w:t>Acceptance / verification criteria</w:t>
            </w:r>
          </w:p>
        </w:tc>
        <w:tc>
          <w:tcPr>
            <w:tcW w:w="1819" w:type="dxa"/>
            <w:tcBorders>
              <w:top w:val="single" w:sz="1" w:space="0" w:color="BBBBBB"/>
              <w:left w:val="single" w:sz="1" w:space="0" w:color="BBBBBB"/>
              <w:bottom w:val="single" w:sz="1" w:space="0" w:color="BBBBBB"/>
              <w:right w:val="single" w:sz="1" w:space="0" w:color="BBBBBB"/>
            </w:tcBorders>
            <w:shd w:val="clear" w:color="auto" w:fill="1F4E79"/>
            <w:tcMar>
              <w:top w:w="50" w:type="dxa"/>
              <w:left w:w="90" w:type="dxa"/>
              <w:bottom w:w="50" w:type="dxa"/>
              <w:right w:w="90" w:type="dxa"/>
            </w:tcMar>
            <w:vAlign w:val="center"/>
          </w:tcPr>
          <w:p w14:paraId="3C593472" w14:textId="77777777" w:rsidR="00BB3E6A" w:rsidRPr="005F4061" w:rsidRDefault="00B7300E">
            <w:pPr>
              <w:rPr>
                <w:b/>
                <w:bCs/>
                <w:color w:val="FFFFFF"/>
                <w:sz w:val="19"/>
                <w:szCs w:val="19"/>
              </w:rPr>
            </w:pPr>
            <w:r w:rsidRPr="005F4061">
              <w:rPr>
                <w:b/>
                <w:bCs/>
                <w:color w:val="FFFFFF"/>
                <w:sz w:val="19"/>
                <w:szCs w:val="19"/>
              </w:rPr>
              <w:t>Shared vs. country-specific</w:t>
            </w:r>
          </w:p>
        </w:tc>
      </w:tr>
      <w:tr w:rsidR="00BB3E6A" w:rsidRPr="005F4061" w14:paraId="4371A558" w14:textId="77777777" w:rsidTr="30294C2C">
        <w:tc>
          <w:tcPr>
            <w:tcW w:w="620"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6D37D4CE" w14:textId="77777777" w:rsidR="00BB3E6A" w:rsidRPr="005F4061" w:rsidRDefault="00B7300E">
            <w:pPr>
              <w:jc w:val="center"/>
              <w:rPr>
                <w:b/>
                <w:bCs/>
                <w:sz w:val="19"/>
                <w:szCs w:val="19"/>
              </w:rPr>
            </w:pPr>
            <w:r w:rsidRPr="005F4061">
              <w:rPr>
                <w:b/>
                <w:bCs/>
                <w:sz w:val="19"/>
                <w:szCs w:val="19"/>
              </w:rPr>
              <w:t>D1</w:t>
            </w:r>
            <w:r w:rsidRPr="005F4061">
              <w:rPr>
                <w:b/>
                <w:bCs/>
                <w:sz w:val="19"/>
                <w:szCs w:val="19"/>
              </w:rPr>
              <w:br/>
              <w:t>(M1)</w:t>
            </w:r>
          </w:p>
        </w:tc>
        <w:tc>
          <w:tcPr>
            <w:tcW w:w="1450"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11EBC9B7" w14:textId="77777777" w:rsidR="00BB3E6A" w:rsidRPr="005F4061" w:rsidRDefault="00B7300E">
            <w:pPr>
              <w:rPr>
                <w:sz w:val="19"/>
                <w:szCs w:val="19"/>
              </w:rPr>
            </w:pPr>
            <w:r w:rsidRPr="005F4061">
              <w:rPr>
                <w:sz w:val="19"/>
                <w:szCs w:val="19"/>
              </w:rPr>
              <w:t>Inception &amp; shared design foundation</w:t>
            </w:r>
          </w:p>
        </w:tc>
        <w:tc>
          <w:tcPr>
            <w:tcW w:w="3050"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1DA63418" w14:textId="77777777" w:rsidR="00BB3E6A" w:rsidRPr="005F4061" w:rsidRDefault="00B7300E">
            <w:pPr>
              <w:rPr>
                <w:sz w:val="19"/>
                <w:szCs w:val="19"/>
              </w:rPr>
            </w:pPr>
            <w:r w:rsidRPr="005F4061">
              <w:rPr>
                <w:sz w:val="19"/>
                <w:szCs w:val="19"/>
              </w:rPr>
              <w:t>Inception Report: agreed methodology, work plan and timeline; desk-review and consultation findings; pilot scope; TEACH Secondary Digital baseline plan; country-specific annexes.</w:t>
            </w:r>
          </w:p>
        </w:tc>
        <w:tc>
          <w:tcPr>
            <w:tcW w:w="2780"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0C29428E" w14:textId="77777777" w:rsidR="00BB3E6A" w:rsidRPr="005F4061" w:rsidRDefault="00B7300E">
            <w:pPr>
              <w:rPr>
                <w:sz w:val="19"/>
                <w:szCs w:val="19"/>
              </w:rPr>
            </w:pPr>
            <w:r w:rsidRPr="005F4061">
              <w:rPr>
                <w:sz w:val="19"/>
                <w:szCs w:val="19"/>
              </w:rPr>
              <w:t>Report accepted by both National Technical Task Forces; baseline plan and pilot-school list signed off by each PIU.</w:t>
            </w:r>
          </w:p>
        </w:tc>
        <w:tc>
          <w:tcPr>
            <w:tcW w:w="1819"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25EB0027" w14:textId="77777777" w:rsidR="00BB3E6A" w:rsidRPr="005F4061" w:rsidRDefault="00B7300E">
            <w:pPr>
              <w:rPr>
                <w:sz w:val="19"/>
                <w:szCs w:val="19"/>
              </w:rPr>
            </w:pPr>
            <w:r w:rsidRPr="005F4061">
              <w:rPr>
                <w:sz w:val="19"/>
                <w:szCs w:val="19"/>
              </w:rPr>
              <w:t>Shared report with one annex per country.</w:t>
            </w:r>
          </w:p>
        </w:tc>
      </w:tr>
      <w:tr w:rsidR="00BB3E6A" w:rsidRPr="005F4061" w14:paraId="74E63069" w14:textId="77777777" w:rsidTr="30294C2C">
        <w:tc>
          <w:tcPr>
            <w:tcW w:w="620" w:type="dxa"/>
            <w:tcBorders>
              <w:top w:val="single" w:sz="1" w:space="0" w:color="BBBBBB"/>
              <w:left w:val="single" w:sz="1" w:space="0" w:color="BBBBBB"/>
              <w:bottom w:val="single" w:sz="1" w:space="0" w:color="BBBBBB"/>
              <w:right w:val="single" w:sz="1" w:space="0" w:color="BBBBBB"/>
            </w:tcBorders>
            <w:shd w:val="clear" w:color="auto" w:fill="EEF3F8"/>
            <w:tcMar>
              <w:top w:w="50" w:type="dxa"/>
              <w:left w:w="90" w:type="dxa"/>
              <w:bottom w:w="50" w:type="dxa"/>
              <w:right w:w="90" w:type="dxa"/>
            </w:tcMar>
            <w:vAlign w:val="center"/>
          </w:tcPr>
          <w:p w14:paraId="79E0FE40" w14:textId="77777777" w:rsidR="00BB3E6A" w:rsidRPr="005F4061" w:rsidRDefault="00B7300E">
            <w:pPr>
              <w:jc w:val="center"/>
              <w:rPr>
                <w:b/>
                <w:bCs/>
                <w:sz w:val="19"/>
                <w:szCs w:val="19"/>
              </w:rPr>
            </w:pPr>
            <w:r w:rsidRPr="005F4061">
              <w:rPr>
                <w:b/>
                <w:bCs/>
                <w:sz w:val="19"/>
                <w:szCs w:val="19"/>
              </w:rPr>
              <w:t>D2</w:t>
            </w:r>
            <w:r w:rsidRPr="005F4061">
              <w:rPr>
                <w:b/>
                <w:bCs/>
                <w:sz w:val="19"/>
                <w:szCs w:val="19"/>
              </w:rPr>
              <w:br/>
              <w:t>(M2)</w:t>
            </w:r>
          </w:p>
        </w:tc>
        <w:tc>
          <w:tcPr>
            <w:tcW w:w="1450" w:type="dxa"/>
            <w:tcBorders>
              <w:top w:val="single" w:sz="1" w:space="0" w:color="BBBBBB"/>
              <w:left w:val="single" w:sz="1" w:space="0" w:color="BBBBBB"/>
              <w:bottom w:val="single" w:sz="1" w:space="0" w:color="BBBBBB"/>
              <w:right w:val="single" w:sz="1" w:space="0" w:color="BBBBBB"/>
            </w:tcBorders>
            <w:shd w:val="clear" w:color="auto" w:fill="EEF3F8"/>
            <w:tcMar>
              <w:top w:w="50" w:type="dxa"/>
              <w:left w:w="90" w:type="dxa"/>
              <w:bottom w:w="50" w:type="dxa"/>
              <w:right w:w="90" w:type="dxa"/>
            </w:tcMar>
            <w:vAlign w:val="center"/>
          </w:tcPr>
          <w:p w14:paraId="4786E2EC" w14:textId="77777777" w:rsidR="00BB3E6A" w:rsidRPr="005F4061" w:rsidRDefault="00B7300E">
            <w:pPr>
              <w:rPr>
                <w:sz w:val="19"/>
                <w:szCs w:val="19"/>
              </w:rPr>
            </w:pPr>
            <w:r w:rsidRPr="005F4061">
              <w:rPr>
                <w:sz w:val="19"/>
                <w:szCs w:val="19"/>
              </w:rPr>
              <w:t>Curriculum framework &amp; learning outcomes</w:t>
            </w:r>
          </w:p>
        </w:tc>
        <w:tc>
          <w:tcPr>
            <w:tcW w:w="3050" w:type="dxa"/>
            <w:tcBorders>
              <w:top w:val="single" w:sz="1" w:space="0" w:color="BBBBBB"/>
              <w:left w:val="single" w:sz="1" w:space="0" w:color="BBBBBB"/>
              <w:bottom w:val="single" w:sz="1" w:space="0" w:color="BBBBBB"/>
              <w:right w:val="single" w:sz="1" w:space="0" w:color="BBBBBB"/>
            </w:tcBorders>
            <w:shd w:val="clear" w:color="auto" w:fill="EEF3F8"/>
            <w:tcMar>
              <w:top w:w="50" w:type="dxa"/>
              <w:left w:w="90" w:type="dxa"/>
              <w:bottom w:w="50" w:type="dxa"/>
              <w:right w:w="90" w:type="dxa"/>
            </w:tcMar>
            <w:vAlign w:val="center"/>
          </w:tcPr>
          <w:p w14:paraId="1CBC5360" w14:textId="77777777" w:rsidR="00BB3E6A" w:rsidRPr="005F4061" w:rsidRDefault="00B7300E">
            <w:pPr>
              <w:rPr>
                <w:sz w:val="19"/>
                <w:szCs w:val="19"/>
              </w:rPr>
            </w:pPr>
            <w:r w:rsidRPr="005F4061">
              <w:rPr>
                <w:sz w:val="19"/>
                <w:szCs w:val="19"/>
              </w:rPr>
              <w:t>Approved Curriculum Framework (per country): graduate vision, prioritized learning outcomes, pedagogical approach, and confirmed core-subject list per form.</w:t>
            </w:r>
          </w:p>
        </w:tc>
        <w:tc>
          <w:tcPr>
            <w:tcW w:w="2780" w:type="dxa"/>
            <w:tcBorders>
              <w:top w:val="single" w:sz="1" w:space="0" w:color="BBBBBB"/>
              <w:left w:val="single" w:sz="1" w:space="0" w:color="BBBBBB"/>
              <w:bottom w:val="single" w:sz="1" w:space="0" w:color="BBBBBB"/>
              <w:right w:val="single" w:sz="1" w:space="0" w:color="BBBBBB"/>
            </w:tcBorders>
            <w:shd w:val="clear" w:color="auto" w:fill="EEF3F8"/>
            <w:tcMar>
              <w:top w:w="50" w:type="dxa"/>
              <w:left w:w="90" w:type="dxa"/>
              <w:bottom w:w="50" w:type="dxa"/>
              <w:right w:w="90" w:type="dxa"/>
            </w:tcMar>
            <w:vAlign w:val="center"/>
          </w:tcPr>
          <w:p w14:paraId="7FD742F7" w14:textId="365DBB09" w:rsidR="00BB3E6A" w:rsidRPr="005F4061" w:rsidRDefault="00B7300E">
            <w:pPr>
              <w:rPr>
                <w:sz w:val="19"/>
                <w:szCs w:val="19"/>
              </w:rPr>
            </w:pPr>
            <w:r w:rsidRPr="005F4061">
              <w:rPr>
                <w:sz w:val="19"/>
                <w:szCs w:val="19"/>
              </w:rPr>
              <w:t>Framework formally endorsed by each Technical Task Force; core-subject count confirmed</w:t>
            </w:r>
            <w:r w:rsidR="003E2BF0" w:rsidRPr="005F4061">
              <w:rPr>
                <w:sz w:val="19"/>
                <w:szCs w:val="19"/>
              </w:rPr>
              <w:t>.</w:t>
            </w:r>
          </w:p>
        </w:tc>
        <w:tc>
          <w:tcPr>
            <w:tcW w:w="1819" w:type="dxa"/>
            <w:tcBorders>
              <w:top w:val="single" w:sz="1" w:space="0" w:color="BBBBBB"/>
              <w:left w:val="single" w:sz="1" w:space="0" w:color="BBBBBB"/>
              <w:bottom w:val="single" w:sz="1" w:space="0" w:color="BBBBBB"/>
              <w:right w:val="single" w:sz="1" w:space="0" w:color="BBBBBB"/>
            </w:tcBorders>
            <w:shd w:val="clear" w:color="auto" w:fill="EEF3F8"/>
            <w:tcMar>
              <w:top w:w="50" w:type="dxa"/>
              <w:left w:w="90" w:type="dxa"/>
              <w:bottom w:w="50" w:type="dxa"/>
              <w:right w:w="90" w:type="dxa"/>
            </w:tcMar>
            <w:vAlign w:val="center"/>
          </w:tcPr>
          <w:p w14:paraId="00310DAC" w14:textId="77777777" w:rsidR="00BB3E6A" w:rsidRPr="005F4061" w:rsidRDefault="00B7300E">
            <w:pPr>
              <w:rPr>
                <w:sz w:val="19"/>
                <w:szCs w:val="19"/>
              </w:rPr>
            </w:pPr>
            <w:r w:rsidRPr="005F4061">
              <w:rPr>
                <w:sz w:val="19"/>
                <w:szCs w:val="19"/>
              </w:rPr>
              <w:t>Shared framework, contextualized per country.</w:t>
            </w:r>
          </w:p>
        </w:tc>
      </w:tr>
      <w:tr w:rsidR="00BB3E6A" w:rsidRPr="005F4061" w14:paraId="4163E3DD" w14:textId="77777777" w:rsidTr="30294C2C">
        <w:tc>
          <w:tcPr>
            <w:tcW w:w="620"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3DDC1D70" w14:textId="77777777" w:rsidR="00BB3E6A" w:rsidRPr="005F4061" w:rsidRDefault="00B7300E">
            <w:pPr>
              <w:jc w:val="center"/>
              <w:rPr>
                <w:b/>
                <w:bCs/>
                <w:sz w:val="19"/>
                <w:szCs w:val="19"/>
              </w:rPr>
            </w:pPr>
            <w:r w:rsidRPr="005F4061">
              <w:rPr>
                <w:b/>
                <w:bCs/>
                <w:sz w:val="19"/>
                <w:szCs w:val="19"/>
              </w:rPr>
              <w:t>D3</w:t>
            </w:r>
            <w:r w:rsidRPr="005F4061">
              <w:rPr>
                <w:b/>
                <w:bCs/>
                <w:sz w:val="19"/>
                <w:szCs w:val="19"/>
              </w:rPr>
              <w:br/>
              <w:t>(M3)</w:t>
            </w:r>
          </w:p>
        </w:tc>
        <w:tc>
          <w:tcPr>
            <w:tcW w:w="1450"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40622C20" w14:textId="77777777" w:rsidR="00BB3E6A" w:rsidRPr="005F4061" w:rsidRDefault="00B7300E">
            <w:pPr>
              <w:rPr>
                <w:sz w:val="19"/>
                <w:szCs w:val="19"/>
              </w:rPr>
            </w:pPr>
            <w:r w:rsidRPr="005F4061">
              <w:rPr>
                <w:sz w:val="19"/>
                <w:szCs w:val="19"/>
              </w:rPr>
              <w:t>Subject curricula &amp; learning resources</w:t>
            </w:r>
          </w:p>
        </w:tc>
        <w:tc>
          <w:tcPr>
            <w:tcW w:w="3050"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1143AAAF" w14:textId="3A9CA9D0" w:rsidR="00BB3E6A" w:rsidRPr="005F4061" w:rsidRDefault="00B7300E">
            <w:pPr>
              <w:rPr>
                <w:sz w:val="19"/>
                <w:szCs w:val="19"/>
              </w:rPr>
            </w:pPr>
            <w:r w:rsidRPr="005F4061">
              <w:rPr>
                <w:sz w:val="19"/>
                <w:szCs w:val="19"/>
              </w:rPr>
              <w:t xml:space="preserve">Full subject curricula, teacher guides, and learning resources — Dominica: </w:t>
            </w:r>
            <w:r w:rsidR="7F426FE5" w:rsidRPr="005F4061">
              <w:rPr>
                <w:sz w:val="19"/>
                <w:szCs w:val="19"/>
              </w:rPr>
              <w:t>10</w:t>
            </w:r>
            <w:r w:rsidRPr="005F4061">
              <w:rPr>
                <w:sz w:val="19"/>
                <w:szCs w:val="19"/>
              </w:rPr>
              <w:t xml:space="preserve"> subjects (Forms 1–3); Grenada: </w:t>
            </w:r>
            <w:r w:rsidR="0F894D2C" w:rsidRPr="005F4061">
              <w:rPr>
                <w:sz w:val="19"/>
                <w:szCs w:val="19"/>
              </w:rPr>
              <w:t>10</w:t>
            </w:r>
            <w:r w:rsidRPr="005F4061">
              <w:rPr>
                <w:sz w:val="19"/>
                <w:szCs w:val="19"/>
              </w:rPr>
              <w:t xml:space="preserve"> subjects (Forms 1–2); plus SEN functional curriculum and TVET</w:t>
            </w:r>
            <w:r w:rsidR="7FF9EA0E" w:rsidRPr="005F4061">
              <w:rPr>
                <w:sz w:val="19"/>
                <w:szCs w:val="19"/>
              </w:rPr>
              <w:t xml:space="preserve">. </w:t>
            </w:r>
          </w:p>
        </w:tc>
        <w:tc>
          <w:tcPr>
            <w:tcW w:w="2780"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6BF7B3FE" w14:textId="418A6B26" w:rsidR="00BB3E6A" w:rsidRPr="005F4061" w:rsidRDefault="00B7300E">
            <w:pPr>
              <w:rPr>
                <w:sz w:val="19"/>
                <w:szCs w:val="19"/>
              </w:rPr>
            </w:pPr>
            <w:r w:rsidRPr="005F4061">
              <w:rPr>
                <w:sz w:val="19"/>
                <w:szCs w:val="19"/>
              </w:rPr>
              <w:t>Each subject package reviewed against the agreed framework and accepted by the Task Force; SEN and TVET strands verified</w:t>
            </w:r>
          </w:p>
        </w:tc>
        <w:tc>
          <w:tcPr>
            <w:tcW w:w="1819"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18C10EDD" w14:textId="77777777" w:rsidR="00BB3E6A" w:rsidRPr="005F4061" w:rsidRDefault="00B7300E">
            <w:pPr>
              <w:rPr>
                <w:sz w:val="19"/>
                <w:szCs w:val="19"/>
              </w:rPr>
            </w:pPr>
            <w:r w:rsidRPr="005F4061">
              <w:rPr>
                <w:sz w:val="19"/>
                <w:szCs w:val="19"/>
              </w:rPr>
              <w:t>Common templates and standards shared; subject content country-specific.</w:t>
            </w:r>
          </w:p>
        </w:tc>
      </w:tr>
      <w:tr w:rsidR="00BB3E6A" w:rsidRPr="005F4061" w14:paraId="06FB1269" w14:textId="77777777" w:rsidTr="30294C2C">
        <w:tc>
          <w:tcPr>
            <w:tcW w:w="620" w:type="dxa"/>
            <w:tcBorders>
              <w:top w:val="single" w:sz="1" w:space="0" w:color="BBBBBB"/>
              <w:left w:val="single" w:sz="1" w:space="0" w:color="BBBBBB"/>
              <w:bottom w:val="single" w:sz="1" w:space="0" w:color="BBBBBB"/>
              <w:right w:val="single" w:sz="1" w:space="0" w:color="BBBBBB"/>
            </w:tcBorders>
            <w:shd w:val="clear" w:color="auto" w:fill="EEF3F8"/>
            <w:tcMar>
              <w:top w:w="50" w:type="dxa"/>
              <w:left w:w="90" w:type="dxa"/>
              <w:bottom w:w="50" w:type="dxa"/>
              <w:right w:w="90" w:type="dxa"/>
            </w:tcMar>
            <w:vAlign w:val="center"/>
          </w:tcPr>
          <w:p w14:paraId="30297C3D" w14:textId="77777777" w:rsidR="00BB3E6A" w:rsidRPr="005F4061" w:rsidRDefault="00B7300E">
            <w:pPr>
              <w:jc w:val="center"/>
              <w:rPr>
                <w:b/>
                <w:bCs/>
                <w:sz w:val="19"/>
                <w:szCs w:val="19"/>
              </w:rPr>
            </w:pPr>
            <w:r w:rsidRPr="005F4061">
              <w:rPr>
                <w:b/>
                <w:bCs/>
                <w:sz w:val="19"/>
                <w:szCs w:val="19"/>
              </w:rPr>
              <w:t>D4</w:t>
            </w:r>
            <w:r w:rsidRPr="005F4061">
              <w:rPr>
                <w:b/>
                <w:bCs/>
                <w:sz w:val="19"/>
                <w:szCs w:val="19"/>
              </w:rPr>
              <w:br/>
              <w:t>(M4)</w:t>
            </w:r>
          </w:p>
        </w:tc>
        <w:tc>
          <w:tcPr>
            <w:tcW w:w="1450" w:type="dxa"/>
            <w:tcBorders>
              <w:top w:val="single" w:sz="1" w:space="0" w:color="BBBBBB"/>
              <w:left w:val="single" w:sz="1" w:space="0" w:color="BBBBBB"/>
              <w:bottom w:val="single" w:sz="1" w:space="0" w:color="BBBBBB"/>
              <w:right w:val="single" w:sz="1" w:space="0" w:color="BBBBBB"/>
            </w:tcBorders>
            <w:shd w:val="clear" w:color="auto" w:fill="EEF3F8"/>
            <w:tcMar>
              <w:top w:w="50" w:type="dxa"/>
              <w:left w:w="90" w:type="dxa"/>
              <w:bottom w:w="50" w:type="dxa"/>
              <w:right w:w="90" w:type="dxa"/>
            </w:tcMar>
            <w:vAlign w:val="center"/>
          </w:tcPr>
          <w:p w14:paraId="428FF9AA" w14:textId="77777777" w:rsidR="00BB3E6A" w:rsidRPr="005F4061" w:rsidRDefault="00B7300E">
            <w:pPr>
              <w:rPr>
                <w:sz w:val="19"/>
                <w:szCs w:val="19"/>
              </w:rPr>
            </w:pPr>
            <w:r w:rsidRPr="005F4061">
              <w:rPr>
                <w:sz w:val="19"/>
                <w:szCs w:val="19"/>
              </w:rPr>
              <w:t>National assessment capability</w:t>
            </w:r>
          </w:p>
        </w:tc>
        <w:tc>
          <w:tcPr>
            <w:tcW w:w="3050" w:type="dxa"/>
            <w:tcBorders>
              <w:top w:val="single" w:sz="1" w:space="0" w:color="BBBBBB"/>
              <w:left w:val="single" w:sz="1" w:space="0" w:color="BBBBBB"/>
              <w:bottom w:val="single" w:sz="1" w:space="0" w:color="BBBBBB"/>
              <w:right w:val="single" w:sz="1" w:space="0" w:color="BBBBBB"/>
            </w:tcBorders>
            <w:shd w:val="clear" w:color="auto" w:fill="EEF3F8"/>
            <w:tcMar>
              <w:top w:w="50" w:type="dxa"/>
              <w:left w:w="90" w:type="dxa"/>
              <w:bottom w:w="50" w:type="dxa"/>
              <w:right w:w="90" w:type="dxa"/>
            </w:tcMar>
            <w:vAlign w:val="center"/>
          </w:tcPr>
          <w:p w14:paraId="2869CFDE" w14:textId="77777777" w:rsidR="00BB3E6A" w:rsidRPr="005F4061" w:rsidRDefault="00B7300E">
            <w:pPr>
              <w:rPr>
                <w:sz w:val="19"/>
                <w:szCs w:val="19"/>
              </w:rPr>
            </w:pPr>
            <w:r w:rsidRPr="005F4061">
              <w:rPr>
                <w:sz w:val="19"/>
                <w:szCs w:val="19"/>
              </w:rPr>
              <w:t>National assessment strategy and implementation plan; item bank; digital assessment library, with SEN protocols and QA documentation.</w:t>
            </w:r>
          </w:p>
        </w:tc>
        <w:tc>
          <w:tcPr>
            <w:tcW w:w="2780" w:type="dxa"/>
            <w:tcBorders>
              <w:top w:val="single" w:sz="1" w:space="0" w:color="BBBBBB"/>
              <w:left w:val="single" w:sz="1" w:space="0" w:color="BBBBBB"/>
              <w:bottom w:val="single" w:sz="1" w:space="0" w:color="BBBBBB"/>
              <w:right w:val="single" w:sz="1" w:space="0" w:color="BBBBBB"/>
            </w:tcBorders>
            <w:shd w:val="clear" w:color="auto" w:fill="EEF3F8"/>
            <w:tcMar>
              <w:top w:w="50" w:type="dxa"/>
              <w:left w:w="90" w:type="dxa"/>
              <w:bottom w:w="50" w:type="dxa"/>
              <w:right w:w="90" w:type="dxa"/>
            </w:tcMar>
            <w:vAlign w:val="center"/>
          </w:tcPr>
          <w:p w14:paraId="7E583AB5" w14:textId="77777777" w:rsidR="00BB3E6A" w:rsidRPr="005F4061" w:rsidRDefault="00B7300E">
            <w:pPr>
              <w:rPr>
                <w:sz w:val="19"/>
                <w:szCs w:val="19"/>
              </w:rPr>
            </w:pPr>
            <w:r w:rsidRPr="005F4061">
              <w:rPr>
                <w:sz w:val="19"/>
                <w:szCs w:val="19"/>
              </w:rPr>
              <w:t>Strategy approved by each MoE; item bank passes documented QA; library integrated with and demonstrated on the LMS.</w:t>
            </w:r>
          </w:p>
        </w:tc>
        <w:tc>
          <w:tcPr>
            <w:tcW w:w="1819" w:type="dxa"/>
            <w:tcBorders>
              <w:top w:val="single" w:sz="1" w:space="0" w:color="BBBBBB"/>
              <w:left w:val="single" w:sz="1" w:space="0" w:color="BBBBBB"/>
              <w:bottom w:val="single" w:sz="1" w:space="0" w:color="BBBBBB"/>
              <w:right w:val="single" w:sz="1" w:space="0" w:color="BBBBBB"/>
            </w:tcBorders>
            <w:shd w:val="clear" w:color="auto" w:fill="EEF3F8"/>
            <w:tcMar>
              <w:top w:w="50" w:type="dxa"/>
              <w:left w:w="90" w:type="dxa"/>
              <w:bottom w:w="50" w:type="dxa"/>
              <w:right w:w="90" w:type="dxa"/>
            </w:tcMar>
            <w:vAlign w:val="center"/>
          </w:tcPr>
          <w:p w14:paraId="19D12166" w14:textId="77777777" w:rsidR="00BB3E6A" w:rsidRPr="005F4061" w:rsidRDefault="00B7300E">
            <w:pPr>
              <w:rPr>
                <w:sz w:val="19"/>
                <w:szCs w:val="19"/>
              </w:rPr>
            </w:pPr>
            <w:r w:rsidRPr="005F4061">
              <w:rPr>
                <w:sz w:val="19"/>
                <w:szCs w:val="19"/>
              </w:rPr>
              <w:t>Shared item-bank engine and library; country assessment strategies separate.</w:t>
            </w:r>
          </w:p>
        </w:tc>
      </w:tr>
      <w:tr w:rsidR="00BB3E6A" w:rsidRPr="005F4061" w14:paraId="67A519CE" w14:textId="77777777" w:rsidTr="30294C2C">
        <w:tc>
          <w:tcPr>
            <w:tcW w:w="620"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68FDFD24" w14:textId="77777777" w:rsidR="00BB3E6A" w:rsidRPr="005F4061" w:rsidRDefault="00B7300E">
            <w:pPr>
              <w:jc w:val="center"/>
              <w:rPr>
                <w:b/>
                <w:bCs/>
                <w:sz w:val="19"/>
                <w:szCs w:val="19"/>
              </w:rPr>
            </w:pPr>
            <w:r w:rsidRPr="005F4061">
              <w:rPr>
                <w:b/>
                <w:bCs/>
                <w:sz w:val="19"/>
                <w:szCs w:val="19"/>
              </w:rPr>
              <w:t>D5</w:t>
            </w:r>
            <w:r w:rsidRPr="005F4061">
              <w:rPr>
                <w:b/>
                <w:bCs/>
                <w:sz w:val="19"/>
                <w:szCs w:val="19"/>
              </w:rPr>
              <w:br/>
              <w:t>(M5)</w:t>
            </w:r>
          </w:p>
        </w:tc>
        <w:tc>
          <w:tcPr>
            <w:tcW w:w="1450"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72E5345A" w14:textId="77777777" w:rsidR="00BB3E6A" w:rsidRPr="005F4061" w:rsidRDefault="00B7300E">
            <w:pPr>
              <w:rPr>
                <w:sz w:val="19"/>
                <w:szCs w:val="19"/>
              </w:rPr>
            </w:pPr>
            <w:r w:rsidRPr="005F4061">
              <w:rPr>
                <w:sz w:val="19"/>
                <w:szCs w:val="19"/>
              </w:rPr>
              <w:t>Digitally enabled delivery</w:t>
            </w:r>
          </w:p>
        </w:tc>
        <w:tc>
          <w:tcPr>
            <w:tcW w:w="3050"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5E165E93" w14:textId="6102879E" w:rsidR="00BB3E6A" w:rsidRPr="005F4061" w:rsidRDefault="00B7300E">
            <w:pPr>
              <w:rPr>
                <w:sz w:val="19"/>
                <w:szCs w:val="19"/>
              </w:rPr>
            </w:pPr>
            <w:r w:rsidRPr="005F4061">
              <w:rPr>
                <w:sz w:val="19"/>
                <w:szCs w:val="19"/>
              </w:rPr>
              <w:t>Curriculum and assessment resources hosted on the shared LMS</w:t>
            </w:r>
            <w:r w:rsidR="18F4B6D1" w:rsidRPr="005F4061">
              <w:rPr>
                <w:sz w:val="19"/>
                <w:szCs w:val="19"/>
              </w:rPr>
              <w:t xml:space="preserve"> (tbc) </w:t>
            </w:r>
          </w:p>
        </w:tc>
        <w:tc>
          <w:tcPr>
            <w:tcW w:w="2780"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1B370D3D" w14:textId="77777777" w:rsidR="00BB3E6A" w:rsidRPr="005F4061" w:rsidRDefault="00B7300E">
            <w:pPr>
              <w:rPr>
                <w:sz w:val="19"/>
                <w:szCs w:val="19"/>
              </w:rPr>
            </w:pPr>
            <w:r w:rsidRPr="005F4061">
              <w:rPr>
                <w:sz w:val="19"/>
                <w:szCs w:val="19"/>
              </w:rPr>
              <w:t>Each instance demonstrated live and accepted by the ICT lead / PIU; EMIS interoperability verified.</w:t>
            </w:r>
          </w:p>
        </w:tc>
        <w:tc>
          <w:tcPr>
            <w:tcW w:w="1819"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2A039CDA" w14:textId="77777777" w:rsidR="00BB3E6A" w:rsidRPr="005F4061" w:rsidRDefault="00B7300E">
            <w:pPr>
              <w:rPr>
                <w:sz w:val="19"/>
                <w:szCs w:val="19"/>
              </w:rPr>
            </w:pPr>
            <w:r w:rsidRPr="005F4061">
              <w:rPr>
                <w:sz w:val="19"/>
                <w:szCs w:val="19"/>
              </w:rPr>
              <w:t>Shared platform; one configured instance per country.</w:t>
            </w:r>
          </w:p>
        </w:tc>
      </w:tr>
      <w:tr w:rsidR="00BB3E6A" w:rsidRPr="005F4061" w14:paraId="1D58723F" w14:textId="77777777" w:rsidTr="30294C2C">
        <w:tc>
          <w:tcPr>
            <w:tcW w:w="620" w:type="dxa"/>
            <w:tcBorders>
              <w:top w:val="single" w:sz="1" w:space="0" w:color="BBBBBB"/>
              <w:left w:val="single" w:sz="1" w:space="0" w:color="BBBBBB"/>
              <w:bottom w:val="single" w:sz="1" w:space="0" w:color="BBBBBB"/>
              <w:right w:val="single" w:sz="1" w:space="0" w:color="BBBBBB"/>
            </w:tcBorders>
            <w:shd w:val="clear" w:color="auto" w:fill="EEF3F8"/>
            <w:tcMar>
              <w:top w:w="50" w:type="dxa"/>
              <w:left w:w="90" w:type="dxa"/>
              <w:bottom w:w="50" w:type="dxa"/>
              <w:right w:w="90" w:type="dxa"/>
            </w:tcMar>
            <w:vAlign w:val="center"/>
          </w:tcPr>
          <w:p w14:paraId="43DBE008" w14:textId="77777777" w:rsidR="00BB3E6A" w:rsidRPr="005F4061" w:rsidRDefault="00B7300E">
            <w:pPr>
              <w:jc w:val="center"/>
              <w:rPr>
                <w:b/>
                <w:bCs/>
                <w:sz w:val="19"/>
                <w:szCs w:val="19"/>
              </w:rPr>
            </w:pPr>
            <w:r w:rsidRPr="005F4061">
              <w:rPr>
                <w:b/>
                <w:bCs/>
                <w:sz w:val="19"/>
                <w:szCs w:val="19"/>
              </w:rPr>
              <w:t>D6</w:t>
            </w:r>
            <w:r w:rsidRPr="005F4061">
              <w:rPr>
                <w:b/>
                <w:bCs/>
                <w:sz w:val="19"/>
                <w:szCs w:val="19"/>
              </w:rPr>
              <w:br/>
              <w:t>(M6)</w:t>
            </w:r>
          </w:p>
        </w:tc>
        <w:tc>
          <w:tcPr>
            <w:tcW w:w="1450" w:type="dxa"/>
            <w:tcBorders>
              <w:top w:val="single" w:sz="1" w:space="0" w:color="BBBBBB"/>
              <w:left w:val="single" w:sz="1" w:space="0" w:color="BBBBBB"/>
              <w:bottom w:val="single" w:sz="1" w:space="0" w:color="BBBBBB"/>
              <w:right w:val="single" w:sz="1" w:space="0" w:color="BBBBBB"/>
            </w:tcBorders>
            <w:shd w:val="clear" w:color="auto" w:fill="EEF3F8"/>
            <w:tcMar>
              <w:top w:w="50" w:type="dxa"/>
              <w:left w:w="90" w:type="dxa"/>
              <w:bottom w:w="50" w:type="dxa"/>
              <w:right w:w="90" w:type="dxa"/>
            </w:tcMar>
            <w:vAlign w:val="center"/>
          </w:tcPr>
          <w:p w14:paraId="652E77D5" w14:textId="77777777" w:rsidR="00BB3E6A" w:rsidRPr="005F4061" w:rsidRDefault="00B7300E">
            <w:pPr>
              <w:rPr>
                <w:sz w:val="19"/>
                <w:szCs w:val="19"/>
              </w:rPr>
            </w:pPr>
            <w:r w:rsidRPr="005F4061">
              <w:rPr>
                <w:sz w:val="19"/>
                <w:szCs w:val="19"/>
              </w:rPr>
              <w:t>Pilot, evaluation &amp; refinement</w:t>
            </w:r>
          </w:p>
        </w:tc>
        <w:tc>
          <w:tcPr>
            <w:tcW w:w="3050" w:type="dxa"/>
            <w:tcBorders>
              <w:top w:val="single" w:sz="1" w:space="0" w:color="BBBBBB"/>
              <w:left w:val="single" w:sz="1" w:space="0" w:color="BBBBBB"/>
              <w:bottom w:val="single" w:sz="1" w:space="0" w:color="BBBBBB"/>
              <w:right w:val="single" w:sz="1" w:space="0" w:color="BBBBBB"/>
            </w:tcBorders>
            <w:shd w:val="clear" w:color="auto" w:fill="EEF3F8"/>
            <w:tcMar>
              <w:top w:w="50" w:type="dxa"/>
              <w:left w:w="90" w:type="dxa"/>
              <w:bottom w:w="50" w:type="dxa"/>
              <w:right w:w="90" w:type="dxa"/>
            </w:tcMar>
            <w:vAlign w:val="center"/>
          </w:tcPr>
          <w:p w14:paraId="42B819EB" w14:textId="77777777" w:rsidR="00BB3E6A" w:rsidRPr="005F4061" w:rsidRDefault="00B7300E">
            <w:pPr>
              <w:rPr>
                <w:sz w:val="19"/>
                <w:szCs w:val="19"/>
              </w:rPr>
            </w:pPr>
            <w:r w:rsidRPr="005F4061">
              <w:rPr>
                <w:sz w:val="19"/>
                <w:szCs w:val="19"/>
              </w:rPr>
              <w:t>Completed pilot in selected schools (≥2 terms); TEACH Secondary monitoring data; qualitative research report; revised curriculum and assessment package.</w:t>
            </w:r>
          </w:p>
        </w:tc>
        <w:tc>
          <w:tcPr>
            <w:tcW w:w="2780" w:type="dxa"/>
            <w:tcBorders>
              <w:top w:val="single" w:sz="1" w:space="0" w:color="BBBBBB"/>
              <w:left w:val="single" w:sz="1" w:space="0" w:color="BBBBBB"/>
              <w:bottom w:val="single" w:sz="1" w:space="0" w:color="BBBBBB"/>
              <w:right w:val="single" w:sz="1" w:space="0" w:color="BBBBBB"/>
            </w:tcBorders>
            <w:shd w:val="clear" w:color="auto" w:fill="EEF3F8"/>
            <w:tcMar>
              <w:top w:w="50" w:type="dxa"/>
              <w:left w:w="90" w:type="dxa"/>
              <w:bottom w:w="50" w:type="dxa"/>
              <w:right w:w="90" w:type="dxa"/>
            </w:tcMar>
            <w:vAlign w:val="center"/>
          </w:tcPr>
          <w:p w14:paraId="2BC729A9" w14:textId="77777777" w:rsidR="00BB3E6A" w:rsidRPr="005F4061" w:rsidRDefault="00B7300E">
            <w:pPr>
              <w:rPr>
                <w:sz w:val="19"/>
                <w:szCs w:val="19"/>
              </w:rPr>
            </w:pPr>
            <w:r w:rsidRPr="005F4061">
              <w:rPr>
                <w:sz w:val="19"/>
                <w:szCs w:val="19"/>
              </w:rPr>
              <w:t>Pilot report and revised materials accepted by the Task Force; revisions traceable to documented pilot evidence.</w:t>
            </w:r>
          </w:p>
        </w:tc>
        <w:tc>
          <w:tcPr>
            <w:tcW w:w="1819" w:type="dxa"/>
            <w:tcBorders>
              <w:top w:val="single" w:sz="1" w:space="0" w:color="BBBBBB"/>
              <w:left w:val="single" w:sz="1" w:space="0" w:color="BBBBBB"/>
              <w:bottom w:val="single" w:sz="1" w:space="0" w:color="BBBBBB"/>
              <w:right w:val="single" w:sz="1" w:space="0" w:color="BBBBBB"/>
            </w:tcBorders>
            <w:shd w:val="clear" w:color="auto" w:fill="EEF3F8"/>
            <w:tcMar>
              <w:top w:w="50" w:type="dxa"/>
              <w:left w:w="90" w:type="dxa"/>
              <w:bottom w:w="50" w:type="dxa"/>
              <w:right w:w="90" w:type="dxa"/>
            </w:tcMar>
            <w:vAlign w:val="center"/>
          </w:tcPr>
          <w:p w14:paraId="1295F158" w14:textId="6B66F696" w:rsidR="00BB3E6A" w:rsidRPr="005F4061" w:rsidRDefault="00876C1D">
            <w:pPr>
              <w:rPr>
                <w:sz w:val="19"/>
                <w:szCs w:val="19"/>
              </w:rPr>
            </w:pPr>
            <w:r w:rsidRPr="005F4061">
              <w:rPr>
                <w:sz w:val="19"/>
                <w:szCs w:val="19"/>
              </w:rPr>
              <w:t>Country specific pilot protocol; pilots run per country.</w:t>
            </w:r>
          </w:p>
        </w:tc>
      </w:tr>
      <w:tr w:rsidR="00BB3E6A" w:rsidRPr="005F4061" w14:paraId="31FEA716" w14:textId="77777777" w:rsidTr="30294C2C">
        <w:tc>
          <w:tcPr>
            <w:tcW w:w="620"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652393FB" w14:textId="77777777" w:rsidR="00BB3E6A" w:rsidRPr="005F4061" w:rsidRDefault="00B7300E">
            <w:pPr>
              <w:jc w:val="center"/>
              <w:rPr>
                <w:b/>
                <w:bCs/>
                <w:sz w:val="19"/>
                <w:szCs w:val="19"/>
              </w:rPr>
            </w:pPr>
            <w:r w:rsidRPr="005F4061">
              <w:rPr>
                <w:b/>
                <w:bCs/>
                <w:sz w:val="19"/>
                <w:szCs w:val="19"/>
              </w:rPr>
              <w:t>D7</w:t>
            </w:r>
            <w:r w:rsidRPr="005F4061">
              <w:rPr>
                <w:b/>
                <w:bCs/>
                <w:sz w:val="19"/>
                <w:szCs w:val="19"/>
              </w:rPr>
              <w:br/>
              <w:t>(M7)</w:t>
            </w:r>
          </w:p>
        </w:tc>
        <w:tc>
          <w:tcPr>
            <w:tcW w:w="1450"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20F0EDC3" w14:textId="77777777" w:rsidR="00BB3E6A" w:rsidRPr="005F4061" w:rsidRDefault="00B7300E">
            <w:pPr>
              <w:rPr>
                <w:sz w:val="19"/>
                <w:szCs w:val="19"/>
              </w:rPr>
            </w:pPr>
            <w:r w:rsidRPr="005F4061">
              <w:rPr>
                <w:sz w:val="19"/>
                <w:szCs w:val="19"/>
              </w:rPr>
              <w:t>Local capacity &amp; sustainability</w:t>
            </w:r>
          </w:p>
        </w:tc>
        <w:tc>
          <w:tcPr>
            <w:tcW w:w="3050"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55DE02B1" w14:textId="77777777" w:rsidR="00BB3E6A" w:rsidRPr="005F4061" w:rsidRDefault="00B7300E">
            <w:pPr>
              <w:rPr>
                <w:sz w:val="19"/>
                <w:szCs w:val="19"/>
              </w:rPr>
            </w:pPr>
            <w:r w:rsidRPr="005F4061">
              <w:rPr>
                <w:sz w:val="19"/>
                <w:szCs w:val="19"/>
              </w:rPr>
              <w:t>Certified national developers and officers (certification records); trained teachers and leaders (attendance and ToT records); embedded planning tools; final rollout guidelines and sustainability plan.</w:t>
            </w:r>
          </w:p>
        </w:tc>
        <w:tc>
          <w:tcPr>
            <w:tcW w:w="2780"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411A2AA0" w14:textId="77777777" w:rsidR="00BB3E6A" w:rsidRPr="005F4061" w:rsidRDefault="00B7300E">
            <w:pPr>
              <w:rPr>
                <w:sz w:val="19"/>
                <w:szCs w:val="19"/>
              </w:rPr>
            </w:pPr>
            <w:r w:rsidRPr="005F4061">
              <w:rPr>
                <w:sz w:val="19"/>
                <w:szCs w:val="19"/>
              </w:rPr>
              <w:t>Certification and training records verified; sustainability plan and rollout guidelines accepted by each Permanent Secretary / PIU.</w:t>
            </w:r>
          </w:p>
        </w:tc>
        <w:tc>
          <w:tcPr>
            <w:tcW w:w="1819" w:type="dxa"/>
            <w:tcBorders>
              <w:top w:val="single" w:sz="1" w:space="0" w:color="BBBBBB"/>
              <w:left w:val="single" w:sz="1" w:space="0" w:color="BBBBBB"/>
              <w:bottom w:val="single" w:sz="1" w:space="0" w:color="BBBBBB"/>
              <w:right w:val="single" w:sz="1" w:space="0" w:color="BBBBBB"/>
            </w:tcBorders>
            <w:tcMar>
              <w:top w:w="50" w:type="dxa"/>
              <w:left w:w="90" w:type="dxa"/>
              <w:bottom w:w="50" w:type="dxa"/>
              <w:right w:w="90" w:type="dxa"/>
            </w:tcMar>
            <w:vAlign w:val="center"/>
          </w:tcPr>
          <w:p w14:paraId="23E20C4D" w14:textId="77777777" w:rsidR="00BB3E6A" w:rsidRPr="005F4061" w:rsidRDefault="00B7300E">
            <w:pPr>
              <w:rPr>
                <w:sz w:val="19"/>
                <w:szCs w:val="19"/>
              </w:rPr>
            </w:pPr>
            <w:r w:rsidRPr="005F4061">
              <w:rPr>
                <w:sz w:val="19"/>
                <w:szCs w:val="19"/>
              </w:rPr>
              <w:t>Joint cohorts where feasible; certification recorded per country.</w:t>
            </w:r>
          </w:p>
        </w:tc>
      </w:tr>
    </w:tbl>
    <w:p w14:paraId="082BCC96" w14:textId="77777777" w:rsidR="000F14C2" w:rsidRPr="005F4061" w:rsidRDefault="00241179">
      <w:pPr>
        <w:pStyle w:val="heading10"/>
      </w:pPr>
      <w:r w:rsidRPr="005F4061">
        <w:t>VI.  Firm's Proposed Approach and Inception</w:t>
      </w:r>
    </w:p>
    <w:p w14:paraId="7B84C70A" w14:textId="44DD82C6" w:rsidR="000F14C2" w:rsidRPr="005F4061" w:rsidRDefault="00241179">
      <w:pPr>
        <w:spacing w:after="120" w:line="276" w:lineRule="auto"/>
      </w:pPr>
      <w:r w:rsidRPr="005F4061">
        <w:t xml:space="preserve">In its technical proposal, the firm will set out its proposed methodology, work plan, team, and how it will meet each binding requirement in Section III. The detailed approach will be confirmed and refined in an Inception Report agreed with both PIUs and Technical Task Forces at the start of the assignment. </w:t>
      </w:r>
    </w:p>
    <w:p w14:paraId="680092CF" w14:textId="77777777" w:rsidR="000F14C2" w:rsidRPr="005F4061" w:rsidRDefault="00241179">
      <w:pPr>
        <w:pStyle w:val="heading10"/>
      </w:pPr>
      <w:r w:rsidRPr="005F4061">
        <w:t>VII.  Duration of Service</w:t>
      </w:r>
    </w:p>
    <w:p w14:paraId="305A01E6" w14:textId="77777777" w:rsidR="000F14C2" w:rsidRPr="005F4061" w:rsidRDefault="00241179">
      <w:pPr>
        <w:spacing w:after="120" w:line="276" w:lineRule="auto"/>
      </w:pPr>
      <w:r w:rsidRPr="005F4061">
        <w:t>The consultancy will be undertaken over 18 months of effective work, completed within a 20-month period. The contract value is inclusive of all applicable taxes; no additional funds will be paid towards the achievement of deliverables.</w:t>
      </w:r>
    </w:p>
    <w:p w14:paraId="279AA926" w14:textId="77777777" w:rsidR="000F14C2" w:rsidRPr="005F4061" w:rsidRDefault="00241179">
      <w:pPr>
        <w:pStyle w:val="heading10"/>
      </w:pPr>
      <w:r w:rsidRPr="005F4061">
        <w:t>VIII.  Experience, Qualifications, and Team</w:t>
      </w:r>
    </w:p>
    <w:p w14:paraId="2AC24171" w14:textId="77777777" w:rsidR="000F14C2" w:rsidRPr="005F4061" w:rsidRDefault="00241179">
      <w:pPr>
        <w:spacing w:after="120" w:line="276" w:lineRule="auto"/>
      </w:pPr>
      <w:r w:rsidRPr="005F4061">
        <w:t>The consulting firm shall demonstrate:</w:t>
      </w:r>
    </w:p>
    <w:p w14:paraId="2CBEE2C9" w14:textId="77777777" w:rsidR="000F14C2" w:rsidRPr="005F4061" w:rsidRDefault="00241179">
      <w:pPr>
        <w:pStyle w:val="ListParagraph"/>
        <w:numPr>
          <w:ilvl w:val="0"/>
          <w:numId w:val="10"/>
        </w:numPr>
        <w:spacing w:after="60" w:line="276" w:lineRule="auto"/>
      </w:pPr>
      <w:r w:rsidRPr="005F4061">
        <w:t>At least twelve (12) years' experience managing curriculum-reform projects, and at least twelve (12) years' experience in formative and summative assessment development, of comparable magnitude.</w:t>
      </w:r>
    </w:p>
    <w:p w14:paraId="21C9A639" w14:textId="77777777" w:rsidR="000F14C2" w:rsidRPr="005F4061" w:rsidRDefault="00241179">
      <w:pPr>
        <w:pStyle w:val="ListParagraph"/>
        <w:numPr>
          <w:ilvl w:val="0"/>
          <w:numId w:val="10"/>
        </w:numPr>
        <w:spacing w:after="60" w:line="276" w:lineRule="auto"/>
      </w:pPr>
      <w:r w:rsidRPr="005F4061">
        <w:t>At least two (2) completed curriculum assignments and one (1) completed assessment assignment at basic/secondary level in the past five (5) years, the latter involving quality-assured items used in a large-scale assessment.</w:t>
      </w:r>
    </w:p>
    <w:p w14:paraId="02B1FEEB" w14:textId="63078062" w:rsidR="000F14C2" w:rsidRPr="005F4061" w:rsidRDefault="512ACD10">
      <w:pPr>
        <w:pStyle w:val="ListParagraph"/>
        <w:numPr>
          <w:ilvl w:val="0"/>
          <w:numId w:val="10"/>
        </w:numPr>
        <w:spacing w:after="60" w:line="276" w:lineRule="auto"/>
      </w:pPr>
      <w:r w:rsidRPr="005F4061">
        <w:t>G</w:t>
      </w:r>
      <w:r w:rsidR="00241179" w:rsidRPr="005F4061">
        <w:t>raduate qualified team members in education, curriculum, or assessment, with proven research, statistical, and qualitative analysis skills.</w:t>
      </w:r>
    </w:p>
    <w:p w14:paraId="1387875C" w14:textId="31D51DBF" w:rsidR="002E275D" w:rsidRPr="005F4061" w:rsidRDefault="00241179" w:rsidP="5FFE8561">
      <w:pPr>
        <w:pStyle w:val="ListParagraph"/>
        <w:numPr>
          <w:ilvl w:val="0"/>
          <w:numId w:val="10"/>
        </w:numPr>
        <w:spacing w:after="60" w:line="276" w:lineRule="auto"/>
      </w:pPr>
      <w:r w:rsidRPr="005F4061">
        <w:t xml:space="preserve">Understanding of the Caribbean education context, with at least </w:t>
      </w:r>
      <w:r w:rsidR="00645FFF" w:rsidRPr="005F4061">
        <w:t>two (</w:t>
      </w:r>
      <w:r w:rsidR="001115A7" w:rsidRPr="005F4061">
        <w:t>2</w:t>
      </w:r>
      <w:r w:rsidR="00645FFF" w:rsidRPr="005F4061">
        <w:t>)</w:t>
      </w:r>
      <w:r w:rsidRPr="005F4061">
        <w:t xml:space="preserve"> team</w:t>
      </w:r>
      <w:r w:rsidR="001115A7" w:rsidRPr="005F4061">
        <w:t xml:space="preserve"> members</w:t>
      </w:r>
      <w:r w:rsidRPr="005F4061">
        <w:t xml:space="preserve"> having demonstrated regional experience in the Caribbean or a small-island state; a local representative or partner in the Eastern Caribbean is required if the firm is not Caribbean-based.</w:t>
      </w:r>
    </w:p>
    <w:p w14:paraId="03477082" w14:textId="781B002F" w:rsidR="45E113BA" w:rsidRPr="005F4061" w:rsidRDefault="45E113BA" w:rsidP="45E113BA">
      <w:pPr>
        <w:spacing w:after="120" w:line="276" w:lineRule="auto"/>
      </w:pPr>
    </w:p>
    <w:p w14:paraId="78C7AE8D" w14:textId="78E5062D" w:rsidR="2A36CDB3" w:rsidRPr="005F4061" w:rsidRDefault="2A36CDB3" w:rsidP="00FA301D">
      <w:pPr>
        <w:spacing w:line="259" w:lineRule="auto"/>
        <w:rPr>
          <w:color w:val="000000" w:themeColor="text1"/>
        </w:rPr>
      </w:pPr>
      <w:r w:rsidRPr="005F4061">
        <w:rPr>
          <w:b/>
          <w:bCs/>
          <w:color w:val="000000" w:themeColor="text1"/>
        </w:rPr>
        <w:t xml:space="preserve">Team Composition and Qualification Requirements for the key experts </w:t>
      </w:r>
    </w:p>
    <w:p w14:paraId="7943705B" w14:textId="0499AE3E" w:rsidR="2A36CDB3" w:rsidRPr="005F4061" w:rsidRDefault="2A36CDB3" w:rsidP="00FA301D">
      <w:pPr>
        <w:spacing w:after="120" w:line="276" w:lineRule="auto"/>
        <w:rPr>
          <w:color w:val="000000" w:themeColor="text1"/>
        </w:rPr>
      </w:pPr>
      <w:r w:rsidRPr="005F4061">
        <w:rPr>
          <w:color w:val="000000" w:themeColor="text1"/>
        </w:rPr>
        <w:t xml:space="preserve">The firm should comprise key personnel who possess a range of skills and qualifications to successfully provide the identified services. As such, the firm will have a core composition of the following experts outlined </w:t>
      </w:r>
      <w:r w:rsidR="26107FE8" w:rsidRPr="005F4061">
        <w:rPr>
          <w:color w:val="000000" w:themeColor="text1"/>
        </w:rPr>
        <w:t>below</w:t>
      </w:r>
      <w:r w:rsidRPr="005F4061">
        <w:rPr>
          <w:color w:val="000000" w:themeColor="text1"/>
        </w:rPr>
        <w:t>.</w:t>
      </w:r>
    </w:p>
    <w:p w14:paraId="556F6CE3" w14:textId="57E302AD" w:rsidR="000F14C2" w:rsidRPr="005F4061" w:rsidRDefault="00241179">
      <w:pPr>
        <w:spacing w:after="120" w:line="276" w:lineRule="auto"/>
      </w:pPr>
      <w:r w:rsidRPr="005F4061">
        <w:t>Core key-expert profiles:</w:t>
      </w:r>
    </w:p>
    <w:p w14:paraId="75FAFBD3" w14:textId="77777777" w:rsidR="000F14C2" w:rsidRPr="005F4061" w:rsidRDefault="00241179">
      <w:pPr>
        <w:pStyle w:val="ListParagraph"/>
        <w:numPr>
          <w:ilvl w:val="0"/>
          <w:numId w:val="10"/>
        </w:numPr>
        <w:spacing w:after="60" w:line="276" w:lineRule="auto"/>
      </w:pPr>
      <w:r w:rsidRPr="005F4061">
        <w:t>Team Leader / Curriculum Reform Specialist; Senior Curriculum Specialist (Lower Secondary); Senior Assessment Specialist.</w:t>
      </w:r>
    </w:p>
    <w:p w14:paraId="14D57376" w14:textId="08F177F4" w:rsidR="000F14C2" w:rsidRPr="005F4061" w:rsidRDefault="00367133">
      <w:pPr>
        <w:pStyle w:val="ListParagraph"/>
        <w:numPr>
          <w:ilvl w:val="0"/>
          <w:numId w:val="10"/>
        </w:numPr>
        <w:spacing w:after="60" w:line="276" w:lineRule="auto"/>
      </w:pPr>
      <w:r w:rsidRPr="005F4061">
        <w:t xml:space="preserve">Specialist with experience in ; Special Education / Inclusive Curriculum Specialist; </w:t>
      </w:r>
      <w:r w:rsidR="5039FE0B" w:rsidRPr="005F4061">
        <w:t xml:space="preserve">integrating vocational learning in general secondary education; </w:t>
      </w:r>
      <w:r w:rsidRPr="005F4061">
        <w:t>EdTech / LMS Specialist.</w:t>
      </w:r>
    </w:p>
    <w:p w14:paraId="50685A0B" w14:textId="27C1AC2D" w:rsidR="000F14C2" w:rsidRPr="005F4061" w:rsidRDefault="00241179">
      <w:pPr>
        <w:pStyle w:val="ListParagraph"/>
        <w:numPr>
          <w:ilvl w:val="0"/>
          <w:numId w:val="10"/>
        </w:numPr>
        <w:spacing w:after="60" w:line="276" w:lineRule="auto"/>
      </w:pPr>
      <w:r w:rsidRPr="005F4061">
        <w:t>Subject-Matter Experts (per core subject); Monitoring, Evaluation and Research Specialist; Change Management / Teacher Professional Development Specialist; Local partners in the Eastern Caribbean.</w:t>
      </w:r>
    </w:p>
    <w:p w14:paraId="0ED8405C" w14:textId="7EB906E1" w:rsidR="45E113BA" w:rsidRPr="005F4061" w:rsidRDefault="45E113BA" w:rsidP="00FA301D">
      <w:pPr>
        <w:spacing w:after="60" w:line="276" w:lineRule="auto"/>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55"/>
        <w:gridCol w:w="2025"/>
        <w:gridCol w:w="6405"/>
      </w:tblGrid>
      <w:tr w:rsidR="45E113BA" w:rsidRPr="005F4061" w14:paraId="4B467CE2" w14:textId="77777777" w:rsidTr="30294C2C">
        <w:trPr>
          <w:trHeight w:val="285"/>
        </w:trPr>
        <w:tc>
          <w:tcPr>
            <w:tcW w:w="555" w:type="dxa"/>
            <w:tcBorders>
              <w:top w:val="single" w:sz="6" w:space="0" w:color="auto"/>
              <w:left w:val="single" w:sz="6" w:space="0" w:color="auto"/>
            </w:tcBorders>
            <w:tcMar>
              <w:left w:w="90" w:type="dxa"/>
              <w:right w:w="90" w:type="dxa"/>
            </w:tcMar>
          </w:tcPr>
          <w:p w14:paraId="4E038916" w14:textId="35A08ADA" w:rsidR="45E113BA" w:rsidRPr="005F4061" w:rsidRDefault="2CDB2A4F" w:rsidP="30294C2C">
            <w:pPr>
              <w:tabs>
                <w:tab w:val="left" w:pos="1134"/>
              </w:tabs>
              <w:spacing w:line="259" w:lineRule="auto"/>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lang w:val="en-GB"/>
              </w:rPr>
              <w:t>No.</w:t>
            </w:r>
          </w:p>
        </w:tc>
        <w:tc>
          <w:tcPr>
            <w:tcW w:w="2025" w:type="dxa"/>
            <w:tcBorders>
              <w:top w:val="single" w:sz="6" w:space="0" w:color="auto"/>
            </w:tcBorders>
            <w:tcMar>
              <w:left w:w="90" w:type="dxa"/>
              <w:right w:w="90" w:type="dxa"/>
            </w:tcMar>
          </w:tcPr>
          <w:p w14:paraId="7B1E31A5" w14:textId="559681BC" w:rsidR="45E113BA" w:rsidRPr="005F4061" w:rsidRDefault="2CDB2A4F" w:rsidP="30294C2C">
            <w:pPr>
              <w:tabs>
                <w:tab w:val="left" w:pos="1134"/>
              </w:tabs>
              <w:spacing w:line="259" w:lineRule="auto"/>
              <w:rPr>
                <w:rFonts w:ascii="Arial Nova" w:eastAsia="Arial Nova" w:hAnsi="Arial Nova" w:cs="Arial Nova"/>
                <w:color w:val="000000" w:themeColor="text1"/>
                <w:sz w:val="20"/>
                <w:szCs w:val="20"/>
              </w:rPr>
            </w:pPr>
            <w:r w:rsidRPr="005F4061">
              <w:rPr>
                <w:rFonts w:ascii="Arial Nova" w:eastAsia="Arial Nova" w:hAnsi="Arial Nova" w:cs="Arial Nova"/>
                <w:b/>
                <w:bCs/>
                <w:color w:val="000000" w:themeColor="text1"/>
                <w:sz w:val="20"/>
                <w:szCs w:val="20"/>
              </w:rPr>
              <w:t>Key experts</w:t>
            </w:r>
          </w:p>
        </w:tc>
        <w:tc>
          <w:tcPr>
            <w:tcW w:w="6405" w:type="dxa"/>
            <w:tcBorders>
              <w:top w:val="single" w:sz="6" w:space="0" w:color="auto"/>
              <w:right w:val="single" w:sz="6" w:space="0" w:color="auto"/>
            </w:tcBorders>
            <w:tcMar>
              <w:left w:w="90" w:type="dxa"/>
              <w:right w:w="90" w:type="dxa"/>
            </w:tcMar>
          </w:tcPr>
          <w:p w14:paraId="04E7802A" w14:textId="53FD7B86" w:rsidR="45E113BA" w:rsidRPr="005F4061" w:rsidRDefault="2CDB2A4F" w:rsidP="30294C2C">
            <w:pPr>
              <w:tabs>
                <w:tab w:val="left" w:pos="1134"/>
              </w:tabs>
              <w:spacing w:line="259" w:lineRule="auto"/>
              <w:rPr>
                <w:rFonts w:ascii="Arial Nova" w:eastAsia="Arial Nova" w:hAnsi="Arial Nova" w:cs="Arial Nova"/>
                <w:color w:val="000000" w:themeColor="text1"/>
                <w:sz w:val="20"/>
                <w:szCs w:val="20"/>
              </w:rPr>
            </w:pPr>
            <w:r w:rsidRPr="005F4061">
              <w:rPr>
                <w:rFonts w:ascii="Arial Nova" w:eastAsia="Arial Nova" w:hAnsi="Arial Nova" w:cs="Arial Nova"/>
                <w:b/>
                <w:bCs/>
                <w:color w:val="000000" w:themeColor="text1"/>
                <w:sz w:val="20"/>
                <w:szCs w:val="20"/>
              </w:rPr>
              <w:t>Minimum qualifications, skills and experience</w:t>
            </w:r>
          </w:p>
        </w:tc>
      </w:tr>
      <w:tr w:rsidR="45E113BA" w:rsidRPr="005F4061" w14:paraId="5BBBBF11" w14:textId="77777777" w:rsidTr="30294C2C">
        <w:trPr>
          <w:trHeight w:val="285"/>
        </w:trPr>
        <w:tc>
          <w:tcPr>
            <w:tcW w:w="555" w:type="dxa"/>
            <w:tcBorders>
              <w:left w:val="single" w:sz="6" w:space="0" w:color="auto"/>
            </w:tcBorders>
            <w:tcMar>
              <w:left w:w="90" w:type="dxa"/>
              <w:right w:w="90" w:type="dxa"/>
            </w:tcMar>
          </w:tcPr>
          <w:p w14:paraId="577ABE19" w14:textId="491E0840" w:rsidR="1B767CE6" w:rsidRPr="005F4061" w:rsidRDefault="38FFA9E1" w:rsidP="30294C2C">
            <w:pPr>
              <w:spacing w:line="259" w:lineRule="auto"/>
              <w:jc w:val="center"/>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1</w:t>
            </w:r>
          </w:p>
        </w:tc>
        <w:tc>
          <w:tcPr>
            <w:tcW w:w="2025" w:type="dxa"/>
            <w:tcMar>
              <w:left w:w="90" w:type="dxa"/>
              <w:right w:w="90" w:type="dxa"/>
            </w:tcMar>
          </w:tcPr>
          <w:p w14:paraId="5602EB87" w14:textId="70B8795E" w:rsidR="1B767CE6" w:rsidRPr="005F4061" w:rsidRDefault="38FFA9E1" w:rsidP="30294C2C">
            <w:pPr>
              <w:spacing w:line="259" w:lineRule="auto"/>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 xml:space="preserve">Team Leader and </w:t>
            </w:r>
            <w:r w:rsidR="2CDB2A4F" w:rsidRPr="005F4061">
              <w:rPr>
                <w:rFonts w:ascii="Arial Nova" w:eastAsia="Arial Nova" w:hAnsi="Arial Nova" w:cs="Arial Nova"/>
                <w:color w:val="000000" w:themeColor="text1"/>
                <w:sz w:val="20"/>
                <w:szCs w:val="20"/>
              </w:rPr>
              <w:t>Senior Curriculum Specialist</w:t>
            </w:r>
          </w:p>
        </w:tc>
        <w:tc>
          <w:tcPr>
            <w:tcW w:w="6405" w:type="dxa"/>
            <w:tcBorders>
              <w:right w:val="single" w:sz="6" w:space="0" w:color="auto"/>
            </w:tcBorders>
            <w:tcMar>
              <w:left w:w="90" w:type="dxa"/>
              <w:right w:w="90" w:type="dxa"/>
            </w:tcMar>
          </w:tcPr>
          <w:p w14:paraId="1D8B4A9C" w14:textId="4CEF60B2" w:rsidR="45E113BA" w:rsidRPr="005F4061" w:rsidRDefault="2CDB2A4F" w:rsidP="30294C2C">
            <w:pPr>
              <w:pStyle w:val="ListParagraph"/>
              <w:numPr>
                <w:ilvl w:val="0"/>
                <w:numId w:val="2"/>
              </w:numPr>
              <w:jc w:val="both"/>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lang w:val="en-GB"/>
              </w:rPr>
              <w:t xml:space="preserve">A post graduate degree in Curriculum and Instruction, or a related field from a recognized higher education institution.   </w:t>
            </w:r>
          </w:p>
          <w:p w14:paraId="3BA22F7C" w14:textId="7E21E76B" w:rsidR="45E113BA" w:rsidRPr="005F4061" w:rsidRDefault="2CDB2A4F" w:rsidP="30294C2C">
            <w:pPr>
              <w:pStyle w:val="ListParagraph"/>
              <w:numPr>
                <w:ilvl w:val="0"/>
                <w:numId w:val="2"/>
              </w:numPr>
              <w:spacing w:before="220" w:after="220"/>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lang w:val="en-GB"/>
              </w:rPr>
              <w:t xml:space="preserve">Knowledge of trends and developments in Learning and Instruction in secondary education. </w:t>
            </w:r>
          </w:p>
          <w:p w14:paraId="56D132E5" w14:textId="28364FC5" w:rsidR="45E113BA" w:rsidRPr="005F4061" w:rsidRDefault="2CDB2A4F" w:rsidP="30294C2C">
            <w:pPr>
              <w:pStyle w:val="ListParagraph"/>
              <w:numPr>
                <w:ilvl w:val="0"/>
                <w:numId w:val="2"/>
              </w:numPr>
              <w:spacing w:before="220" w:after="220"/>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lang w:val="en-GB"/>
              </w:rPr>
              <w:t xml:space="preserve">At least eight (8) years of experience in developing learning standards or curriculum content, preferably for secondary education programs.   </w:t>
            </w:r>
          </w:p>
          <w:p w14:paraId="022B40CF" w14:textId="452DA2F6" w:rsidR="45E113BA" w:rsidRPr="005F4061" w:rsidRDefault="2CDB2A4F" w:rsidP="30294C2C">
            <w:pPr>
              <w:pStyle w:val="ListParagraph"/>
              <w:numPr>
                <w:ilvl w:val="0"/>
                <w:numId w:val="2"/>
              </w:numPr>
              <w:spacing w:before="220" w:after="220"/>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lang w:val="en-GB"/>
              </w:rPr>
              <w:t xml:space="preserve">Demonstrated experience in the conduct of research particularly on curriculum or learning standards.  </w:t>
            </w:r>
          </w:p>
          <w:p w14:paraId="2B6C40A8" w14:textId="0231D781" w:rsidR="45E113BA" w:rsidRPr="005F4061" w:rsidRDefault="2CDB2A4F" w:rsidP="30294C2C">
            <w:pPr>
              <w:pStyle w:val="ListParagraph"/>
              <w:numPr>
                <w:ilvl w:val="0"/>
                <w:numId w:val="2"/>
              </w:numPr>
              <w:spacing w:before="220" w:after="220"/>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lang w:val="en-GB"/>
              </w:rPr>
              <w:t xml:space="preserve">At least five years’ experience in implementation of curriculum, along with the development of manuals and other curriculum or teacher instruction products </w:t>
            </w:r>
          </w:p>
          <w:p w14:paraId="110E232E" w14:textId="371D4419" w:rsidR="45E113BA" w:rsidRPr="005F4061" w:rsidRDefault="2CDB2A4F" w:rsidP="30294C2C">
            <w:pPr>
              <w:pStyle w:val="ListParagraph"/>
              <w:numPr>
                <w:ilvl w:val="0"/>
                <w:numId w:val="2"/>
              </w:numPr>
              <w:spacing w:before="220" w:after="220"/>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lang w:val="en-GB"/>
              </w:rPr>
              <w:t>Demonstrated experience in the development and supervision of programmes in the field of curriculum or learning standards. </w:t>
            </w:r>
          </w:p>
          <w:p w14:paraId="106819BC" w14:textId="5F202784" w:rsidR="45E113BA" w:rsidRPr="005F4061" w:rsidRDefault="2CDB2A4F" w:rsidP="30294C2C">
            <w:pPr>
              <w:pStyle w:val="ListParagraph"/>
              <w:numPr>
                <w:ilvl w:val="0"/>
                <w:numId w:val="2"/>
              </w:numPr>
              <w:spacing w:before="220" w:after="220"/>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lang w:val="en-GB"/>
              </w:rPr>
              <w:t>Proven track record of aligning digital learning content to national curricula and ensuring compliance with formal learning outcomes.</w:t>
            </w:r>
          </w:p>
        </w:tc>
      </w:tr>
      <w:tr w:rsidR="45E113BA" w:rsidRPr="005F4061" w14:paraId="3DDF3E8C" w14:textId="77777777" w:rsidTr="30294C2C">
        <w:trPr>
          <w:trHeight w:val="285"/>
        </w:trPr>
        <w:tc>
          <w:tcPr>
            <w:tcW w:w="555" w:type="dxa"/>
            <w:tcBorders>
              <w:left w:val="single" w:sz="6" w:space="0" w:color="auto"/>
            </w:tcBorders>
            <w:tcMar>
              <w:left w:w="90" w:type="dxa"/>
              <w:right w:w="90" w:type="dxa"/>
            </w:tcMar>
          </w:tcPr>
          <w:p w14:paraId="3AD66F1E" w14:textId="6F21530A" w:rsidR="2B8093F1" w:rsidRPr="005F4061" w:rsidRDefault="6C365055" w:rsidP="30294C2C">
            <w:pPr>
              <w:tabs>
                <w:tab w:val="left" w:pos="1134"/>
              </w:tabs>
              <w:spacing w:line="259" w:lineRule="auto"/>
              <w:jc w:val="center"/>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2</w:t>
            </w:r>
          </w:p>
        </w:tc>
        <w:tc>
          <w:tcPr>
            <w:tcW w:w="2025" w:type="dxa"/>
            <w:tcMar>
              <w:left w:w="90" w:type="dxa"/>
              <w:right w:w="90" w:type="dxa"/>
            </w:tcMar>
          </w:tcPr>
          <w:p w14:paraId="26A6C9E4" w14:textId="5721473F" w:rsidR="6BCC0504" w:rsidRPr="005F4061" w:rsidRDefault="33D69C9F" w:rsidP="30294C2C">
            <w:pPr>
              <w:tabs>
                <w:tab w:val="left" w:pos="1134"/>
              </w:tabs>
              <w:spacing w:line="259" w:lineRule="auto"/>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EdTech</w:t>
            </w:r>
            <w:r w:rsidR="2CDB2A4F" w:rsidRPr="005F4061">
              <w:rPr>
                <w:rFonts w:ascii="Arial Nova" w:eastAsia="Arial Nova" w:hAnsi="Arial Nova" w:cs="Arial Nova"/>
                <w:color w:val="000000" w:themeColor="text1"/>
                <w:sz w:val="20"/>
                <w:szCs w:val="20"/>
              </w:rPr>
              <w:t xml:space="preserve"> specialist </w:t>
            </w:r>
          </w:p>
        </w:tc>
        <w:tc>
          <w:tcPr>
            <w:tcW w:w="6405" w:type="dxa"/>
            <w:tcBorders>
              <w:right w:val="single" w:sz="6" w:space="0" w:color="auto"/>
            </w:tcBorders>
            <w:tcMar>
              <w:left w:w="90" w:type="dxa"/>
              <w:right w:w="90" w:type="dxa"/>
            </w:tcMar>
          </w:tcPr>
          <w:p w14:paraId="59085824" w14:textId="54B3298C" w:rsidR="45E113BA" w:rsidRPr="005F4061" w:rsidRDefault="2CDB2A4F" w:rsidP="30294C2C">
            <w:pPr>
              <w:pStyle w:val="ListParagraph"/>
              <w:numPr>
                <w:ilvl w:val="0"/>
                <w:numId w:val="4"/>
              </w:numPr>
              <w:spacing w:after="171"/>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Post Graduate Degree in information and communications technology,</w:t>
            </w:r>
            <w:r w:rsidR="33FD3510" w:rsidRPr="005F4061">
              <w:rPr>
                <w:rFonts w:ascii="Arial Nova" w:eastAsia="Arial Nova" w:hAnsi="Arial Nova" w:cs="Arial Nova"/>
                <w:color w:val="000000" w:themeColor="text1"/>
                <w:sz w:val="20"/>
                <w:szCs w:val="20"/>
              </w:rPr>
              <w:t xml:space="preserve"> digital learning,</w:t>
            </w:r>
            <w:r w:rsidRPr="005F4061">
              <w:rPr>
                <w:rFonts w:ascii="Arial Nova" w:eastAsia="Arial Nova" w:hAnsi="Arial Nova" w:cs="Arial Nova"/>
                <w:color w:val="000000" w:themeColor="text1"/>
                <w:sz w:val="20"/>
                <w:szCs w:val="20"/>
              </w:rPr>
              <w:t xml:space="preserve"> education</w:t>
            </w:r>
            <w:r w:rsidR="17964FEF" w:rsidRPr="005F4061">
              <w:rPr>
                <w:rFonts w:ascii="Arial Nova" w:eastAsia="Arial Nova" w:hAnsi="Arial Nova" w:cs="Arial Nova"/>
                <w:color w:val="000000" w:themeColor="text1"/>
                <w:sz w:val="20"/>
                <w:szCs w:val="20"/>
              </w:rPr>
              <w:t xml:space="preserve"> technology</w:t>
            </w:r>
            <w:r w:rsidRPr="005F4061">
              <w:rPr>
                <w:rFonts w:ascii="Arial Nova" w:eastAsia="Arial Nova" w:hAnsi="Arial Nova" w:cs="Arial Nova"/>
                <w:color w:val="000000" w:themeColor="text1"/>
                <w:sz w:val="20"/>
                <w:szCs w:val="20"/>
              </w:rPr>
              <w:t>, curriculum design and development, or a related field.</w:t>
            </w:r>
          </w:p>
          <w:p w14:paraId="71AF2FC1" w14:textId="48A987D5" w:rsidR="45E113BA" w:rsidRPr="005F4061" w:rsidRDefault="2CDB2A4F" w:rsidP="30294C2C">
            <w:pPr>
              <w:pStyle w:val="ListParagraph"/>
              <w:numPr>
                <w:ilvl w:val="0"/>
                <w:numId w:val="4"/>
              </w:numPr>
              <w:spacing w:after="171"/>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Minimum of eight (8) years of experience in ICT design and development, or related field. This includes but is not limited to: integrating digital learning tools into curricula and the applied use of e-learning platforms, innovative digital instructional tools and resources, online assessments, and competency-based learning methodologies.</w:t>
            </w:r>
          </w:p>
          <w:p w14:paraId="2AE891C7" w14:textId="0492B833" w:rsidR="45E113BA" w:rsidRPr="005F4061" w:rsidRDefault="2CDB2A4F" w:rsidP="30294C2C">
            <w:pPr>
              <w:pStyle w:val="ListParagraph"/>
              <w:numPr>
                <w:ilvl w:val="0"/>
                <w:numId w:val="4"/>
              </w:numPr>
              <w:jc w:val="both"/>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Experience leading large-scale ICT development and capacity building programmes.</w:t>
            </w:r>
          </w:p>
          <w:p w14:paraId="1E53E30E" w14:textId="190D2968" w:rsidR="45E113BA" w:rsidRPr="005F4061" w:rsidRDefault="2CDB2A4F" w:rsidP="30294C2C">
            <w:pPr>
              <w:pStyle w:val="ListParagraph"/>
              <w:numPr>
                <w:ilvl w:val="0"/>
                <w:numId w:val="4"/>
              </w:numPr>
              <w:jc w:val="both"/>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Experience with the application of quality assurance standards or relevant monitoring, evaluation and learning (MEL) tools to ensure quality capacity building programme design and delivery.</w:t>
            </w:r>
          </w:p>
          <w:p w14:paraId="70CC2E51" w14:textId="33BCBE10" w:rsidR="45E113BA" w:rsidRPr="005F4061" w:rsidRDefault="2CDB2A4F" w:rsidP="30294C2C">
            <w:pPr>
              <w:pStyle w:val="ListParagraph"/>
              <w:numPr>
                <w:ilvl w:val="0"/>
                <w:numId w:val="4"/>
              </w:numPr>
              <w:jc w:val="both"/>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Experience with training-of-trainers models and competency-based learning.</w:t>
            </w:r>
          </w:p>
        </w:tc>
      </w:tr>
      <w:tr w:rsidR="45E113BA" w:rsidRPr="005F4061" w14:paraId="2CF08B93" w14:textId="77777777" w:rsidTr="30294C2C">
        <w:trPr>
          <w:trHeight w:val="285"/>
        </w:trPr>
        <w:tc>
          <w:tcPr>
            <w:tcW w:w="555" w:type="dxa"/>
            <w:tcBorders>
              <w:left w:val="single" w:sz="6" w:space="0" w:color="auto"/>
            </w:tcBorders>
            <w:tcMar>
              <w:left w:w="90" w:type="dxa"/>
              <w:right w:w="90" w:type="dxa"/>
            </w:tcMar>
          </w:tcPr>
          <w:p w14:paraId="29B8545E" w14:textId="2491AB3F" w:rsidR="45E113BA" w:rsidRPr="005F4061" w:rsidRDefault="2CDB2A4F" w:rsidP="30294C2C">
            <w:pPr>
              <w:tabs>
                <w:tab w:val="left" w:pos="1134"/>
              </w:tabs>
              <w:spacing w:line="259" w:lineRule="auto"/>
              <w:jc w:val="center"/>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3</w:t>
            </w:r>
          </w:p>
        </w:tc>
        <w:tc>
          <w:tcPr>
            <w:tcW w:w="2025" w:type="dxa"/>
            <w:tcMar>
              <w:left w:w="90" w:type="dxa"/>
              <w:right w:w="90" w:type="dxa"/>
            </w:tcMar>
          </w:tcPr>
          <w:p w14:paraId="25BCB6EE" w14:textId="588E6A8C" w:rsidR="59D586E7" w:rsidRPr="005F4061" w:rsidRDefault="1EF1D9BD" w:rsidP="30294C2C">
            <w:pPr>
              <w:tabs>
                <w:tab w:val="left" w:pos="1134"/>
              </w:tabs>
              <w:spacing w:line="259" w:lineRule="auto"/>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 xml:space="preserve">Senior </w:t>
            </w:r>
            <w:r w:rsidR="2CDB2A4F" w:rsidRPr="005F4061">
              <w:rPr>
                <w:rFonts w:ascii="Arial Nova" w:eastAsia="Arial Nova" w:hAnsi="Arial Nova" w:cs="Arial Nova"/>
                <w:color w:val="000000" w:themeColor="text1"/>
                <w:sz w:val="20"/>
                <w:szCs w:val="20"/>
              </w:rPr>
              <w:t>Assessment Specialist</w:t>
            </w:r>
          </w:p>
        </w:tc>
        <w:tc>
          <w:tcPr>
            <w:tcW w:w="6405" w:type="dxa"/>
            <w:tcBorders>
              <w:right w:val="single" w:sz="6" w:space="0" w:color="auto"/>
            </w:tcBorders>
            <w:tcMar>
              <w:left w:w="90" w:type="dxa"/>
              <w:right w:w="90" w:type="dxa"/>
            </w:tcMar>
          </w:tcPr>
          <w:p w14:paraId="69C1A684" w14:textId="740D53A9" w:rsidR="45E113BA" w:rsidRPr="005F4061" w:rsidRDefault="2CDB2A4F" w:rsidP="30294C2C">
            <w:pPr>
              <w:pStyle w:val="ListParagraph"/>
              <w:numPr>
                <w:ilvl w:val="0"/>
                <w:numId w:val="3"/>
              </w:numPr>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A master's or Ph.D. in Education, Assessment, Measurement.</w:t>
            </w:r>
          </w:p>
          <w:p w14:paraId="38F1C139" w14:textId="2921C46E" w:rsidR="45E113BA" w:rsidRPr="005F4061" w:rsidRDefault="2CDB2A4F" w:rsidP="30294C2C">
            <w:pPr>
              <w:pStyle w:val="ListParagraph"/>
              <w:numPr>
                <w:ilvl w:val="0"/>
                <w:numId w:val="3"/>
              </w:numPr>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 xml:space="preserve">Minimum of </w:t>
            </w:r>
            <w:r w:rsidR="6E2A64F2" w:rsidRPr="005F4061">
              <w:rPr>
                <w:rFonts w:ascii="Arial Nova" w:eastAsia="Arial Nova" w:hAnsi="Arial Nova" w:cs="Arial Nova"/>
                <w:color w:val="000000" w:themeColor="text1"/>
                <w:sz w:val="20"/>
                <w:szCs w:val="20"/>
              </w:rPr>
              <w:t>8</w:t>
            </w:r>
            <w:r w:rsidRPr="005F4061">
              <w:rPr>
                <w:rFonts w:ascii="Arial Nova" w:eastAsia="Arial Nova" w:hAnsi="Arial Nova" w:cs="Arial Nova"/>
                <w:color w:val="000000" w:themeColor="text1"/>
                <w:sz w:val="20"/>
                <w:szCs w:val="20"/>
              </w:rPr>
              <w:t xml:space="preserve"> years of experience in educational assessment or teaching, with a focus on designing, implementing, and analyzing assessments. </w:t>
            </w:r>
          </w:p>
          <w:p w14:paraId="040C14FD" w14:textId="4B0C262B" w:rsidR="45E113BA" w:rsidRPr="005F4061" w:rsidRDefault="2CDB2A4F" w:rsidP="30294C2C">
            <w:pPr>
              <w:pStyle w:val="ListParagraph"/>
              <w:numPr>
                <w:ilvl w:val="0"/>
                <w:numId w:val="3"/>
              </w:numPr>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 xml:space="preserve">Capability of training others in professional development settings </w:t>
            </w:r>
          </w:p>
          <w:p w14:paraId="4D11AA7C" w14:textId="6A193B93" w:rsidR="45E113BA" w:rsidRPr="005F4061" w:rsidRDefault="45E113BA" w:rsidP="30294C2C">
            <w:pPr>
              <w:rPr>
                <w:rFonts w:ascii="Arial Nova" w:eastAsia="Arial Nova" w:hAnsi="Arial Nova" w:cs="Arial Nova"/>
                <w:color w:val="000000" w:themeColor="text1"/>
                <w:sz w:val="20"/>
                <w:szCs w:val="20"/>
              </w:rPr>
            </w:pPr>
          </w:p>
        </w:tc>
      </w:tr>
      <w:tr w:rsidR="45E113BA" w:rsidRPr="005F4061" w14:paraId="7DF9E81D" w14:textId="77777777" w:rsidTr="30294C2C">
        <w:trPr>
          <w:trHeight w:val="285"/>
        </w:trPr>
        <w:tc>
          <w:tcPr>
            <w:tcW w:w="555" w:type="dxa"/>
            <w:tcBorders>
              <w:left w:val="single" w:sz="6" w:space="0" w:color="auto"/>
            </w:tcBorders>
            <w:tcMar>
              <w:left w:w="90" w:type="dxa"/>
              <w:right w:w="90" w:type="dxa"/>
            </w:tcMar>
          </w:tcPr>
          <w:p w14:paraId="45635ADE" w14:textId="1CEA09D7" w:rsidR="45E113BA" w:rsidRPr="005F4061" w:rsidRDefault="2CDB2A4F" w:rsidP="30294C2C">
            <w:pPr>
              <w:tabs>
                <w:tab w:val="left" w:pos="1134"/>
              </w:tabs>
              <w:spacing w:line="259" w:lineRule="auto"/>
              <w:jc w:val="center"/>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4</w:t>
            </w:r>
          </w:p>
        </w:tc>
        <w:tc>
          <w:tcPr>
            <w:tcW w:w="2025" w:type="dxa"/>
            <w:tcMar>
              <w:left w:w="90" w:type="dxa"/>
              <w:right w:w="90" w:type="dxa"/>
            </w:tcMar>
          </w:tcPr>
          <w:p w14:paraId="6401DC62" w14:textId="6B444FAC" w:rsidR="45E113BA" w:rsidRPr="005F4061" w:rsidRDefault="2CDB2A4F" w:rsidP="30294C2C">
            <w:pPr>
              <w:tabs>
                <w:tab w:val="left" w:pos="1134"/>
              </w:tabs>
              <w:spacing w:line="259" w:lineRule="auto"/>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Inclusive Education Specialist</w:t>
            </w:r>
          </w:p>
        </w:tc>
        <w:tc>
          <w:tcPr>
            <w:tcW w:w="6405" w:type="dxa"/>
            <w:tcBorders>
              <w:right w:val="single" w:sz="6" w:space="0" w:color="auto"/>
            </w:tcBorders>
            <w:tcMar>
              <w:left w:w="90" w:type="dxa"/>
              <w:right w:w="90" w:type="dxa"/>
            </w:tcMar>
          </w:tcPr>
          <w:p w14:paraId="0DA74890" w14:textId="5DE99A8B" w:rsidR="45E113BA" w:rsidRPr="005F4061" w:rsidRDefault="2CDB2A4F" w:rsidP="30294C2C">
            <w:pPr>
              <w:pStyle w:val="ListParagraph"/>
              <w:numPr>
                <w:ilvl w:val="0"/>
                <w:numId w:val="2"/>
              </w:numPr>
              <w:spacing w:line="259" w:lineRule="auto"/>
              <w:jc w:val="both"/>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lang w:val="en-GB"/>
              </w:rPr>
              <w:t>Post graduate degree in Special Education, Inclusive Education, or a related field.</w:t>
            </w:r>
          </w:p>
          <w:p w14:paraId="7DD56A7E" w14:textId="2058F081" w:rsidR="45E113BA" w:rsidRPr="005F4061" w:rsidRDefault="2CDB2A4F" w:rsidP="30294C2C">
            <w:pPr>
              <w:pStyle w:val="ListParagraph"/>
              <w:numPr>
                <w:ilvl w:val="0"/>
                <w:numId w:val="2"/>
              </w:numPr>
              <w:spacing w:line="259" w:lineRule="auto"/>
              <w:jc w:val="both"/>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lang w:val="en"/>
              </w:rPr>
              <w:t>Minimum of eight (8) years of experience in Special Education, or a related field. This includes, but is not limited to inclusive education, universal design for learning.</w:t>
            </w:r>
          </w:p>
          <w:p w14:paraId="301BFF0F" w14:textId="519A242B" w:rsidR="45E113BA" w:rsidRPr="005F4061" w:rsidRDefault="2CDB2A4F" w:rsidP="30294C2C">
            <w:pPr>
              <w:pStyle w:val="ListParagraph"/>
              <w:numPr>
                <w:ilvl w:val="0"/>
                <w:numId w:val="2"/>
              </w:numPr>
              <w:spacing w:line="259" w:lineRule="auto"/>
              <w:jc w:val="both"/>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lang w:val="en"/>
              </w:rPr>
              <w:t>Minimum of five (5) years of experience in developing SEND inclusive curriculum.</w:t>
            </w:r>
          </w:p>
          <w:p w14:paraId="2C720F72" w14:textId="762CE303" w:rsidR="45E113BA" w:rsidRPr="005F4061" w:rsidRDefault="2CDB2A4F" w:rsidP="30294C2C">
            <w:pPr>
              <w:pStyle w:val="ListParagraph"/>
              <w:numPr>
                <w:ilvl w:val="0"/>
                <w:numId w:val="2"/>
              </w:numPr>
              <w:spacing w:line="259" w:lineRule="auto"/>
              <w:jc w:val="both"/>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lang w:val="en-GB"/>
              </w:rPr>
              <w:t>Minimum of five (5) years of experience providing psychosocial supports to SEND learners.</w:t>
            </w:r>
          </w:p>
          <w:p w14:paraId="5BC62793" w14:textId="1A00625D" w:rsidR="45E113BA" w:rsidRPr="005F4061" w:rsidRDefault="2CDB2A4F" w:rsidP="30294C2C">
            <w:pPr>
              <w:pStyle w:val="ListParagraph"/>
              <w:numPr>
                <w:ilvl w:val="0"/>
                <w:numId w:val="2"/>
              </w:numPr>
              <w:spacing w:line="259" w:lineRule="auto"/>
              <w:jc w:val="both"/>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lang w:val="en-GB"/>
              </w:rPr>
              <w:t>Experience with training-of-trainers models and competency-based learning.</w:t>
            </w:r>
          </w:p>
          <w:p w14:paraId="1A0CE2B3" w14:textId="0EA94660" w:rsidR="45E113BA" w:rsidRPr="005F4061" w:rsidRDefault="2CDB2A4F" w:rsidP="30294C2C">
            <w:pPr>
              <w:pStyle w:val="ListParagraph"/>
              <w:numPr>
                <w:ilvl w:val="0"/>
                <w:numId w:val="2"/>
              </w:numPr>
              <w:spacing w:line="259" w:lineRule="auto"/>
              <w:jc w:val="both"/>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lang w:val="en-GB"/>
              </w:rPr>
              <w:t>At least five (5) years of experience in developing and facilitating capacity development, coaching and mentoring  within the education sector.</w:t>
            </w:r>
          </w:p>
          <w:p w14:paraId="4CA89301" w14:textId="0CB2C04B" w:rsidR="45E113BA" w:rsidRPr="005F4061" w:rsidRDefault="2CDB2A4F" w:rsidP="30294C2C">
            <w:pPr>
              <w:pStyle w:val="ListParagraph"/>
              <w:numPr>
                <w:ilvl w:val="0"/>
                <w:numId w:val="2"/>
              </w:numPr>
              <w:spacing w:after="78" w:line="259" w:lineRule="auto"/>
              <w:rPr>
                <w:rFonts w:ascii="Arial Nova" w:eastAsia="Arial Nova" w:hAnsi="Arial Nova" w:cs="Arial Nova"/>
                <w:color w:val="000000" w:themeColor="text1"/>
                <w:sz w:val="20"/>
                <w:szCs w:val="20"/>
              </w:rPr>
            </w:pPr>
            <w:r w:rsidRPr="005F4061">
              <w:rPr>
                <w:rFonts w:ascii="Arial Nova" w:eastAsia="Arial Nova" w:hAnsi="Arial Nova" w:cs="Arial Nova"/>
                <w:color w:val="000000" w:themeColor="text1"/>
                <w:sz w:val="20"/>
                <w:szCs w:val="20"/>
              </w:rPr>
              <w:t>Demonstrated experience of at least 5 years Expertise in Universal Design for Learning (UDL), Social-Emotional Learning (SEL).</w:t>
            </w:r>
          </w:p>
          <w:p w14:paraId="1F9E2233" w14:textId="6942B5F5" w:rsidR="45E113BA" w:rsidRPr="005F4061" w:rsidRDefault="45E113BA" w:rsidP="30294C2C">
            <w:pPr>
              <w:spacing w:after="78" w:line="259" w:lineRule="auto"/>
              <w:rPr>
                <w:rFonts w:ascii="Arial Nova" w:eastAsia="Arial Nova" w:hAnsi="Arial Nova" w:cs="Arial Nova"/>
                <w:color w:val="000000" w:themeColor="text1"/>
                <w:sz w:val="20"/>
                <w:szCs w:val="20"/>
              </w:rPr>
            </w:pPr>
          </w:p>
        </w:tc>
      </w:tr>
    </w:tbl>
    <w:p w14:paraId="0E611D1A" w14:textId="791B459D" w:rsidR="45E113BA" w:rsidRPr="005F4061" w:rsidRDefault="45E113BA"/>
    <w:p w14:paraId="0C4476DD" w14:textId="40D1E8D8" w:rsidR="45E113BA" w:rsidRPr="005F4061" w:rsidDel="00E25A48" w:rsidRDefault="45E113BA" w:rsidP="45E113BA">
      <w:pPr>
        <w:spacing w:after="60" w:line="276" w:lineRule="auto"/>
      </w:pPr>
    </w:p>
    <w:p w14:paraId="19C4159A" w14:textId="47B75B54" w:rsidR="45E113BA" w:rsidRPr="005F4061" w:rsidDel="00E25A48" w:rsidRDefault="6F61EAA6" w:rsidP="007F19AA">
      <w:pPr>
        <w:spacing w:after="60" w:line="276" w:lineRule="auto"/>
        <w:jc w:val="both"/>
        <w:rPr>
          <w:color w:val="156082" w:themeColor="accent1"/>
        </w:rPr>
      </w:pPr>
      <w:r w:rsidRPr="005F4061">
        <w:rPr>
          <w:b/>
          <w:bCs/>
          <w:color w:val="156082" w:themeColor="accent1"/>
        </w:rPr>
        <w:t>Non-Key Experts</w:t>
      </w:r>
    </w:p>
    <w:p w14:paraId="55DBA22F" w14:textId="763438D3" w:rsidR="45E113BA" w:rsidRPr="005F4061" w:rsidDel="00E25A48" w:rsidRDefault="45E113BA" w:rsidP="30294C2C">
      <w:pPr>
        <w:spacing w:after="60" w:line="276" w:lineRule="auto"/>
        <w:jc w:val="both"/>
        <w:rPr>
          <w:color w:val="000000" w:themeColor="text1"/>
        </w:rPr>
      </w:pPr>
    </w:p>
    <w:p w14:paraId="212EE9BC" w14:textId="6CA558F1" w:rsidR="45E113BA" w:rsidRPr="005F4061" w:rsidDel="00E25A48" w:rsidRDefault="6328F6D4" w:rsidP="007F19AA">
      <w:pPr>
        <w:spacing w:after="60" w:line="276" w:lineRule="auto"/>
        <w:jc w:val="both"/>
        <w:rPr>
          <w:color w:val="000000" w:themeColor="text1"/>
        </w:rPr>
      </w:pPr>
      <w:r w:rsidRPr="005F4061">
        <w:rPr>
          <w:color w:val="000000" w:themeColor="text1"/>
        </w:rPr>
        <w:t xml:space="preserve">The </w:t>
      </w:r>
      <w:r w:rsidR="11FE81C5" w:rsidRPr="005F4061">
        <w:rPr>
          <w:color w:val="000000" w:themeColor="text1"/>
        </w:rPr>
        <w:t xml:space="preserve">firm </w:t>
      </w:r>
      <w:r w:rsidRPr="005F4061">
        <w:rPr>
          <w:color w:val="000000" w:themeColor="text1"/>
        </w:rPr>
        <w:t xml:space="preserve">is at liberty to mobilize non-key experts to effectively undertake the activities of these Terms of Reference. However, the non-key experts and any additional experts forming the </w:t>
      </w:r>
      <w:r w:rsidR="6933DA73" w:rsidRPr="005F4061">
        <w:rPr>
          <w:color w:val="000000" w:themeColor="text1"/>
        </w:rPr>
        <w:t>firm</w:t>
      </w:r>
      <w:r w:rsidRPr="005F4061">
        <w:rPr>
          <w:color w:val="000000" w:themeColor="text1"/>
        </w:rPr>
        <w:t>’s team will not be evaluated</w:t>
      </w:r>
      <w:r w:rsidR="62CC76F6" w:rsidRPr="005F4061">
        <w:rPr>
          <w:color w:val="000000" w:themeColor="text1"/>
        </w:rPr>
        <w:t xml:space="preserve"> or scored</w:t>
      </w:r>
      <w:r w:rsidRPr="005F4061">
        <w:rPr>
          <w:color w:val="000000" w:themeColor="text1"/>
        </w:rPr>
        <w:t>. All experts must be independent and free from conflicts of interest in the responsibilities they take on.</w:t>
      </w:r>
    </w:p>
    <w:p w14:paraId="0A808427" w14:textId="77777777" w:rsidR="000F14C2" w:rsidRPr="005F4061" w:rsidRDefault="00241179">
      <w:pPr>
        <w:pStyle w:val="heading10"/>
      </w:pPr>
      <w:r w:rsidRPr="005F4061">
        <w:rPr>
          <w:sz w:val="21"/>
          <w:szCs w:val="21"/>
        </w:rPr>
        <w:t>IX.  Governance, Reporting, and Resp</w:t>
      </w:r>
      <w:r w:rsidRPr="005F4061">
        <w:t>onsibilities</w:t>
      </w:r>
    </w:p>
    <w:p w14:paraId="6D5F2887" w14:textId="4BF6FF48" w:rsidR="000F14C2" w:rsidRPr="005F4061" w:rsidRDefault="00241179">
      <w:pPr>
        <w:pStyle w:val="ListParagraph"/>
        <w:numPr>
          <w:ilvl w:val="0"/>
          <w:numId w:val="10"/>
        </w:numPr>
        <w:spacing w:after="60" w:line="276" w:lineRule="auto"/>
      </w:pPr>
      <w:r w:rsidRPr="005F4061">
        <w:rPr>
          <w:b/>
          <w:bCs/>
        </w:rPr>
        <w:t xml:space="preserve">Reporting line.  </w:t>
      </w:r>
      <w:r w:rsidRPr="005F4061">
        <w:t>The firm reports to the respective Permanent Secretary through the Project Coordinator in each country's PIU. The National Technical Task Force of each country quality-assures all deliverables before approval; joint deliverables are reviewed by the joint procurement committee. Each MoE owns the rights to all deliverables.</w:t>
      </w:r>
    </w:p>
    <w:p w14:paraId="5BB9D96B" w14:textId="3EEFA0D8" w:rsidR="000F14C2" w:rsidRPr="005F4061" w:rsidRDefault="00241179">
      <w:pPr>
        <w:pStyle w:val="ListParagraph"/>
        <w:numPr>
          <w:ilvl w:val="0"/>
          <w:numId w:val="10"/>
        </w:numPr>
        <w:spacing w:after="60" w:line="276" w:lineRule="auto"/>
      </w:pPr>
      <w:r w:rsidRPr="005F4061">
        <w:rPr>
          <w:b/>
          <w:bCs/>
        </w:rPr>
        <w:t xml:space="preserve">Cadence.  </w:t>
      </w:r>
      <w:r w:rsidRPr="005F4061">
        <w:t>An inception meeting precedes any activity. The firm submits quarterly progress reports per country and a final comprehensive report, attends and documents bi-weekly PIU meetings, and undertakes field visits as needed. Outputs are delivered in MS Word and hardcopy and in formats compatible with the selected LMS.</w:t>
      </w:r>
    </w:p>
    <w:p w14:paraId="5BF6B787" w14:textId="4D6ABA1E" w:rsidR="1F75A946" w:rsidRPr="005F4061" w:rsidRDefault="00241179" w:rsidP="733C8255">
      <w:pPr>
        <w:pStyle w:val="ListParagraph"/>
        <w:numPr>
          <w:ilvl w:val="0"/>
          <w:numId w:val="10"/>
        </w:numPr>
        <w:pBdr>
          <w:top w:val="nil"/>
          <w:left w:val="nil"/>
          <w:bottom w:val="nil"/>
          <w:right w:val="nil"/>
          <w:between w:val="nil"/>
        </w:pBdr>
        <w:spacing w:after="60" w:line="276" w:lineRule="auto"/>
        <w:rPr>
          <w:color w:val="000000" w:themeColor="text1"/>
        </w:rPr>
      </w:pPr>
      <w:r w:rsidRPr="005F4061">
        <w:rPr>
          <w:b/>
          <w:bCs/>
        </w:rPr>
        <w:t xml:space="preserve">Client responsibilities.  </w:t>
      </w:r>
      <w:r w:rsidRPr="005F4061">
        <w:t xml:space="preserve">Each MoE, through its PIU, facilitates access to documents, contacts, and stakeholders; serves as the formal contact point; reviews and accepts deliverables in a timely manner; and makes payment against approved milestones. The two PIUs coordinate closely on joint outputs. </w:t>
      </w:r>
    </w:p>
    <w:p w14:paraId="088F7559" w14:textId="356D979A" w:rsidR="7BA2D853" w:rsidRPr="005F4061" w:rsidRDefault="00241179" w:rsidP="006E39C0">
      <w:pPr>
        <w:pStyle w:val="ListParagraph"/>
        <w:numPr>
          <w:ilvl w:val="0"/>
          <w:numId w:val="10"/>
        </w:numPr>
        <w:spacing w:after="60" w:line="276" w:lineRule="auto"/>
      </w:pPr>
      <w:r w:rsidRPr="005F4061">
        <w:rPr>
          <w:b/>
          <w:bCs/>
        </w:rPr>
        <w:t xml:space="preserve">Firm responsibilities.  </w:t>
      </w:r>
      <w:r w:rsidRPr="005F4061">
        <w:t>The firm provides its own office space, equipment, and back-stopping; treats all information as confidential; works in accordance with the laws and practices of Dominica and Grenada; and delivers joint outputs once with country-specific instances or annexes.</w:t>
      </w:r>
    </w:p>
    <w:p w14:paraId="0C0C4640" w14:textId="7748FD41" w:rsidR="609470FF" w:rsidRPr="005F4061" w:rsidRDefault="12A7558D" w:rsidP="00FA6673">
      <w:pPr>
        <w:pStyle w:val="heading10"/>
      </w:pPr>
      <w:r w:rsidRPr="005F4061">
        <w:t>X.  Data Protection, Data Governance, and Responsible Use of Artificial Intelligence</w:t>
      </w:r>
    </w:p>
    <w:p w14:paraId="19A8C26E" w14:textId="6C6DCBCA" w:rsidR="609470FF" w:rsidRPr="005F4061" w:rsidRDefault="12A7558D" w:rsidP="00FA6673">
      <w:pPr>
        <w:shd w:val="clear" w:color="auto" w:fill="FFFFFF" w:themeFill="background1"/>
        <w:spacing w:before="180" w:after="180" w:line="276" w:lineRule="auto"/>
        <w:rPr>
          <w:color w:val="242424"/>
        </w:rPr>
      </w:pPr>
      <w:r w:rsidRPr="005F4061">
        <w:rPr>
          <w:b/>
          <w:bCs/>
          <w:color w:val="242424"/>
        </w:rPr>
        <w:t>X.1 General Principle.</w:t>
      </w:r>
      <w:r w:rsidRPr="005F4061">
        <w:rPr>
          <w:color w:val="242424"/>
        </w:rPr>
        <w:t xml:space="preserve"> All data collected, processed, stored, or generated under this assignment — including any personal data of students, teachers, parents/guardians, and staff — shall be handled in accordance with applicable national data protection legislation, the access-to-information and data-privacy frameworks of Dominica, Grenada, CARICOM/OECS digital governance guidelines, and recognized international standards for education data (e.g., FERPA, GDPR). The firm shall treat all such data as confidential and use it solely for the purposes of this assignment.</w:t>
      </w:r>
    </w:p>
    <w:p w14:paraId="6E88FC66" w14:textId="7B7532AE" w:rsidR="609470FF" w:rsidRPr="005F4061" w:rsidRDefault="12A7558D" w:rsidP="00FA6673">
      <w:pPr>
        <w:shd w:val="clear" w:color="auto" w:fill="FFFFFF" w:themeFill="background1"/>
        <w:spacing w:before="180" w:after="180" w:line="276" w:lineRule="auto"/>
        <w:rPr>
          <w:color w:val="242424"/>
        </w:rPr>
      </w:pPr>
      <w:r w:rsidRPr="005F4061">
        <w:rPr>
          <w:b/>
          <w:bCs/>
          <w:color w:val="242424"/>
        </w:rPr>
        <w:t>X.2 Protection of Student and Minors' Data.</w:t>
      </w:r>
      <w:r w:rsidRPr="005F4061">
        <w:rPr>
          <w:color w:val="242424"/>
        </w:rPr>
        <w:t xml:space="preserve"> Given that the data concerned relates substantially to children, the Consultant shall apply heightened safeguards, including:</w:t>
      </w:r>
    </w:p>
    <w:p w14:paraId="47279688" w14:textId="03367518" w:rsidR="609470FF" w:rsidRPr="005F4061" w:rsidRDefault="12A7558D" w:rsidP="00FA6673">
      <w:pPr>
        <w:pStyle w:val="ListParagraph"/>
        <w:numPr>
          <w:ilvl w:val="0"/>
          <w:numId w:val="7"/>
        </w:numPr>
        <w:shd w:val="clear" w:color="auto" w:fill="FFFFFF" w:themeFill="background1"/>
        <w:spacing w:before="180" w:after="180" w:line="276" w:lineRule="auto"/>
        <w:rPr>
          <w:color w:val="242424"/>
        </w:rPr>
      </w:pPr>
      <w:r w:rsidRPr="005F4061">
        <w:rPr>
          <w:b/>
          <w:bCs/>
          <w:color w:val="242424"/>
        </w:rPr>
        <w:t>Data minimization</w:t>
      </w:r>
      <w:r w:rsidRPr="005F4061">
        <w:rPr>
          <w:color w:val="242424"/>
        </w:rPr>
        <w:t xml:space="preserve"> — collecting and processing only the personal data strictly necessary to deliver the agreed outputs;</w:t>
      </w:r>
    </w:p>
    <w:p w14:paraId="0F6C86A2" w14:textId="337F885A" w:rsidR="609470FF" w:rsidRPr="005F4061" w:rsidRDefault="12A7558D" w:rsidP="00FA6673">
      <w:pPr>
        <w:pStyle w:val="ListParagraph"/>
        <w:numPr>
          <w:ilvl w:val="0"/>
          <w:numId w:val="7"/>
        </w:numPr>
        <w:shd w:val="clear" w:color="auto" w:fill="FFFFFF" w:themeFill="background1"/>
        <w:spacing w:before="180" w:after="180" w:line="276" w:lineRule="auto"/>
        <w:rPr>
          <w:color w:val="242424"/>
        </w:rPr>
      </w:pPr>
      <w:r w:rsidRPr="005F4061">
        <w:rPr>
          <w:b/>
          <w:bCs/>
          <w:color w:val="242424"/>
        </w:rPr>
        <w:t>Purpose limitation</w:t>
      </w:r>
      <w:r w:rsidRPr="005F4061">
        <w:rPr>
          <w:color w:val="242424"/>
        </w:rPr>
        <w:t xml:space="preserve"> — using student data only for the educational and analytical purposes defined in this ToR, and never for commercial, secondary, or unrelated purposes;</w:t>
      </w:r>
    </w:p>
    <w:p w14:paraId="1839CAE4" w14:textId="3FFFF395" w:rsidR="609470FF" w:rsidRPr="005F4061" w:rsidRDefault="12A7558D" w:rsidP="00FA6673">
      <w:pPr>
        <w:pStyle w:val="ListParagraph"/>
        <w:numPr>
          <w:ilvl w:val="0"/>
          <w:numId w:val="7"/>
        </w:numPr>
        <w:shd w:val="clear" w:color="auto" w:fill="FFFFFF" w:themeFill="background1"/>
        <w:spacing w:before="180" w:after="180" w:line="276" w:lineRule="auto"/>
        <w:rPr>
          <w:color w:val="242424"/>
        </w:rPr>
      </w:pPr>
      <w:r w:rsidRPr="005F4061">
        <w:rPr>
          <w:b/>
          <w:bCs/>
          <w:color w:val="242424"/>
        </w:rPr>
        <w:t>Lawful basis and consent</w:t>
      </w:r>
      <w:r w:rsidRPr="005F4061">
        <w:rPr>
          <w:color w:val="242424"/>
        </w:rPr>
        <w:t xml:space="preserve"> — ensuring an appropriate legal basis for processing, including parental/guardian consent where required by law;</w:t>
      </w:r>
    </w:p>
    <w:p w14:paraId="35D63082" w14:textId="21B42BA7" w:rsidR="609470FF" w:rsidRPr="005F4061" w:rsidRDefault="12A7558D" w:rsidP="00FA6673">
      <w:pPr>
        <w:pStyle w:val="ListParagraph"/>
        <w:numPr>
          <w:ilvl w:val="0"/>
          <w:numId w:val="7"/>
        </w:numPr>
        <w:shd w:val="clear" w:color="auto" w:fill="FFFFFF" w:themeFill="background1"/>
        <w:spacing w:before="180" w:after="180" w:line="276" w:lineRule="auto"/>
        <w:rPr>
          <w:color w:val="242424"/>
        </w:rPr>
      </w:pPr>
      <w:r w:rsidRPr="005F4061">
        <w:rPr>
          <w:b/>
          <w:bCs/>
          <w:color w:val="242424"/>
        </w:rPr>
        <w:t>Anonymization/pseudonymization</w:t>
      </w:r>
      <w:r w:rsidRPr="005F4061">
        <w:rPr>
          <w:color w:val="242424"/>
        </w:rPr>
        <w:t xml:space="preserve"> — de-identifying student records for any analysis, reporting, testing, or AI model development wherever individual identification is not essential; and</w:t>
      </w:r>
    </w:p>
    <w:p w14:paraId="27390734" w14:textId="5B4419D6" w:rsidR="609470FF" w:rsidRPr="005F4061" w:rsidRDefault="12A7558D" w:rsidP="00FA6673">
      <w:pPr>
        <w:pStyle w:val="ListParagraph"/>
        <w:numPr>
          <w:ilvl w:val="0"/>
          <w:numId w:val="7"/>
        </w:numPr>
        <w:shd w:val="clear" w:color="auto" w:fill="FFFFFF" w:themeFill="background1"/>
        <w:spacing w:before="180" w:after="180" w:line="276" w:lineRule="auto"/>
        <w:rPr>
          <w:color w:val="242424"/>
        </w:rPr>
      </w:pPr>
      <w:r w:rsidRPr="005F4061">
        <w:rPr>
          <w:b/>
          <w:bCs/>
          <w:color w:val="242424"/>
        </w:rPr>
        <w:t>No unauthorized disclosure</w:t>
      </w:r>
      <w:r w:rsidRPr="005F4061">
        <w:rPr>
          <w:color w:val="242424"/>
        </w:rPr>
        <w:t xml:space="preserve"> — not sharing, transferring, or publishing student data, in identifiable form, to any third party without the prior written authorization of the Ministry of Education.</w:t>
      </w:r>
    </w:p>
    <w:p w14:paraId="16B60820" w14:textId="2806D4B9" w:rsidR="609470FF" w:rsidRPr="005F4061" w:rsidRDefault="12A7558D" w:rsidP="00FA6673">
      <w:pPr>
        <w:shd w:val="clear" w:color="auto" w:fill="FFFFFF" w:themeFill="background1"/>
        <w:spacing w:before="180" w:after="180" w:line="276" w:lineRule="auto"/>
        <w:rPr>
          <w:color w:val="242424"/>
        </w:rPr>
      </w:pPr>
      <w:r w:rsidRPr="005F4061">
        <w:rPr>
          <w:b/>
          <w:bCs/>
          <w:color w:val="242424"/>
        </w:rPr>
        <w:t>X.3 Data Governance.</w:t>
      </w:r>
      <w:r w:rsidRPr="005F4061">
        <w:rPr>
          <w:color w:val="242424"/>
        </w:rPr>
        <w:t xml:space="preserve"> The firm shall comply with the Dominica and Grenada, EMIS/education data governance framework and applicable data governance and validation rules, including documented roles and responsibilities for data ownership, stewardship, and access; data-quality and validation controls; clear data-retention and secure-disposal schedules; and full auditability of data access and exchange. Personal and education data shall remain the property of the Ministry of Education, and the Consultant shall return or securely destroy all such data upon completion or termination of the assignment.</w:t>
      </w:r>
    </w:p>
    <w:p w14:paraId="54A16215" w14:textId="1323C1F6" w:rsidR="609470FF" w:rsidRPr="005F4061" w:rsidRDefault="12A7558D" w:rsidP="00FA6673">
      <w:pPr>
        <w:shd w:val="clear" w:color="auto" w:fill="FFFFFF" w:themeFill="background1"/>
        <w:spacing w:before="180" w:after="180" w:line="276" w:lineRule="auto"/>
        <w:rPr>
          <w:color w:val="242424"/>
        </w:rPr>
      </w:pPr>
      <w:r w:rsidRPr="005F4061">
        <w:rPr>
          <w:b/>
          <w:bCs/>
          <w:color w:val="242424"/>
        </w:rPr>
        <w:t>X.4 Security Measures.</w:t>
      </w:r>
      <w:r w:rsidRPr="005F4061">
        <w:rPr>
          <w:color w:val="242424"/>
        </w:rPr>
        <w:t xml:space="preserve"> The firm shall implement appropriate technical and organizational security measures, including role-based access controls, encryption of data in transit and at rest, secure hosting arrangements (cloud hosting permitted where compliant with national data-protection regulations and OECS digital governance guidelines), and a documented procedure for detecting, reporting, and responding to data breaches within [e.g., 72 hours] of discovery.</w:t>
      </w:r>
    </w:p>
    <w:p w14:paraId="67A33891" w14:textId="2EFC8AFB" w:rsidR="609470FF" w:rsidRPr="005F4061" w:rsidRDefault="12A7558D" w:rsidP="00FA6673">
      <w:pPr>
        <w:shd w:val="clear" w:color="auto" w:fill="FFFFFF" w:themeFill="background1"/>
        <w:spacing w:before="180" w:after="180" w:line="276" w:lineRule="auto"/>
        <w:rPr>
          <w:color w:val="242424"/>
        </w:rPr>
      </w:pPr>
      <w:r w:rsidRPr="005F4061">
        <w:rPr>
          <w:b/>
          <w:bCs/>
          <w:color w:val="242424"/>
        </w:rPr>
        <w:t>X.5 Responsible Use of Artificial Intelligence.</w:t>
      </w:r>
      <w:r w:rsidRPr="005F4061">
        <w:rPr>
          <w:color w:val="242424"/>
        </w:rPr>
        <w:t xml:space="preserve"> Where the assignment involves the design, deployment, or use of AI or automated decision-support tools, the firm shall:</w:t>
      </w:r>
    </w:p>
    <w:p w14:paraId="6C369733" w14:textId="4838BD41" w:rsidR="609470FF" w:rsidRPr="005F4061" w:rsidRDefault="12A7558D" w:rsidP="00FA6673">
      <w:pPr>
        <w:pStyle w:val="ListParagraph"/>
        <w:numPr>
          <w:ilvl w:val="0"/>
          <w:numId w:val="5"/>
        </w:numPr>
        <w:shd w:val="clear" w:color="auto" w:fill="FFFFFF" w:themeFill="background1"/>
        <w:spacing w:before="180" w:after="180" w:line="276" w:lineRule="auto"/>
        <w:rPr>
          <w:color w:val="242424"/>
        </w:rPr>
      </w:pPr>
      <w:r w:rsidRPr="005F4061">
        <w:rPr>
          <w:color w:val="242424"/>
        </w:rPr>
        <w:t>Establish transparent, ethical governance arrangements that protect privacy, actively test for and mitigate algorithmic bias, and keep humans in the loop for decisions affecting students;</w:t>
      </w:r>
    </w:p>
    <w:p w14:paraId="6F0A58DC" w14:textId="329EBDDC" w:rsidR="609470FF" w:rsidRPr="005F4061" w:rsidRDefault="12A7558D" w:rsidP="00FA6673">
      <w:pPr>
        <w:pStyle w:val="ListParagraph"/>
        <w:numPr>
          <w:ilvl w:val="0"/>
          <w:numId w:val="5"/>
        </w:numPr>
        <w:shd w:val="clear" w:color="auto" w:fill="FFFFFF" w:themeFill="background1"/>
        <w:spacing w:before="180" w:after="180" w:line="276" w:lineRule="auto"/>
        <w:rPr>
          <w:color w:val="242424"/>
        </w:rPr>
      </w:pPr>
      <w:r w:rsidRPr="005F4061">
        <w:rPr>
          <w:color w:val="242424"/>
        </w:rPr>
        <w:t xml:space="preserve">Ensure AI systems are explainable, auditable, and aligned with </w:t>
      </w:r>
      <w:r w:rsidR="205FE891" w:rsidRPr="005F4061">
        <w:rPr>
          <w:color w:val="242424"/>
        </w:rPr>
        <w:t>Dominica’s Grenada’s</w:t>
      </w:r>
      <w:r w:rsidRPr="005F4061">
        <w:rPr>
          <w:color w:val="242424"/>
        </w:rPr>
        <w:t xml:space="preserve"> and the World Bank's principles for responsible AI in education, with all stakeholders consulted in shaping AI use;</w:t>
      </w:r>
    </w:p>
    <w:p w14:paraId="3921B2E3" w14:textId="53D219F1" w:rsidR="609470FF" w:rsidRPr="005F4061" w:rsidRDefault="12A7558D" w:rsidP="00FA6673">
      <w:pPr>
        <w:pStyle w:val="ListParagraph"/>
        <w:numPr>
          <w:ilvl w:val="0"/>
          <w:numId w:val="5"/>
        </w:numPr>
        <w:shd w:val="clear" w:color="auto" w:fill="FFFFFF" w:themeFill="background1"/>
        <w:spacing w:before="180" w:after="180" w:line="276" w:lineRule="auto"/>
        <w:rPr>
          <w:color w:val="242424"/>
        </w:rPr>
      </w:pPr>
      <w:r w:rsidRPr="005F4061">
        <w:rPr>
          <w:color w:val="242424"/>
        </w:rPr>
        <w:t>Not use student or other personal data to train, fine-tune, or improve external/third-party AI models without explicit written authorization, and never expose identifiable student data to public or non-approved AI services; and</w:t>
      </w:r>
    </w:p>
    <w:p w14:paraId="3AB87460" w14:textId="38EAB693" w:rsidR="609470FF" w:rsidRPr="005F4061" w:rsidRDefault="12A7558D" w:rsidP="00FA6673">
      <w:pPr>
        <w:pStyle w:val="ListParagraph"/>
        <w:numPr>
          <w:ilvl w:val="0"/>
          <w:numId w:val="5"/>
        </w:numPr>
        <w:shd w:val="clear" w:color="auto" w:fill="FFFFFF" w:themeFill="background1"/>
        <w:spacing w:before="180" w:after="180" w:line="276" w:lineRule="auto"/>
        <w:rPr>
          <w:color w:val="242424"/>
        </w:rPr>
      </w:pPr>
      <w:r w:rsidRPr="005F4061">
        <w:rPr>
          <w:color w:val="242424"/>
        </w:rPr>
        <w:t>Document the data sources, intended use, limitations, and safeguards of any AI tool delivered under this assignment.</w:t>
      </w:r>
    </w:p>
    <w:p w14:paraId="71735D06" w14:textId="12604753" w:rsidR="286993F1" w:rsidRPr="005F4061" w:rsidRDefault="286993F1" w:rsidP="5FFE8561">
      <w:pPr>
        <w:pStyle w:val="ListParagraph"/>
        <w:numPr>
          <w:ilvl w:val="0"/>
          <w:numId w:val="5"/>
        </w:numPr>
        <w:shd w:val="clear" w:color="auto" w:fill="FFFFFF" w:themeFill="background1"/>
        <w:spacing w:before="180" w:after="180" w:line="276" w:lineRule="auto"/>
        <w:rPr>
          <w:color w:val="242424"/>
        </w:rPr>
      </w:pPr>
      <w:r w:rsidRPr="005F4061">
        <w:rPr>
          <w:color w:val="242424"/>
        </w:rPr>
        <w:t>Ensure all AI-generated material is thoroughly checked and validated by team members before submitting it to the World Bank or any other stakeholder for their review and input.</w:t>
      </w:r>
    </w:p>
    <w:p w14:paraId="0D7632C2" w14:textId="3488BC20" w:rsidR="609470FF" w:rsidRPr="005F4061" w:rsidRDefault="12A7558D" w:rsidP="5FFE8561">
      <w:pPr>
        <w:shd w:val="clear" w:color="auto" w:fill="FFFFFF" w:themeFill="background1"/>
        <w:spacing w:before="180" w:after="180" w:line="276" w:lineRule="auto"/>
        <w:rPr>
          <w:color w:val="242424"/>
        </w:rPr>
      </w:pPr>
      <w:r w:rsidRPr="005F4061">
        <w:rPr>
          <w:b/>
          <w:bCs/>
          <w:color w:val="242424"/>
        </w:rPr>
        <w:t>X.6 Compliance and Liability.</w:t>
      </w:r>
      <w:r w:rsidRPr="005F4061">
        <w:rPr>
          <w:color w:val="242424"/>
        </w:rPr>
        <w:t xml:space="preserve"> The firm shall ensure that all sub-consultants and personnel are bound by these obligations and shall remain liable for any breach. Non-compliance with this clause may constitute grounds for suspension or termination of the contract.</w:t>
      </w:r>
    </w:p>
    <w:p w14:paraId="4DC75A21" w14:textId="77777777" w:rsidR="000F14C2" w:rsidRPr="005F4061" w:rsidRDefault="00241179">
      <w:pPr>
        <w:pStyle w:val="heading10"/>
      </w:pPr>
      <w:r w:rsidRPr="005F4061">
        <w:t>XI.  Pooled Procurement and Contracting</w:t>
      </w:r>
    </w:p>
    <w:p w14:paraId="479BBBD0" w14:textId="399EB821" w:rsidR="20A3B8AC" w:rsidRPr="005F4061" w:rsidRDefault="00241179" w:rsidP="20A3B8AC">
      <w:pPr>
        <w:spacing w:after="120" w:line="276" w:lineRule="auto"/>
      </w:pPr>
      <w:r w:rsidRPr="005F4061">
        <w:t>This assignment is procured on a pooled basis across Dominica and Grenada to secure coherence and economies of scale. Common frameworks, training, the LMS platform, and the assessment item bank are designed and delivered once, with each country receiving a contextualized instance. Each country's MoE pays against its own milestone stream at the weighted shares set out in Section V, through its PIU. The firm will sign a separate contract with each country, in this way the deliverable payment schedule maps cleanly onto the financial agreements.</w:t>
      </w:r>
    </w:p>
    <w:p w14:paraId="6EAB8065" w14:textId="5C021C3E" w:rsidR="0161C78C" w:rsidRPr="005F4061" w:rsidRDefault="21BE8B80" w:rsidP="53EF35B7">
      <w:pPr>
        <w:pStyle w:val="heading10"/>
        <w:pBdr>
          <w:top w:val="nil"/>
          <w:left w:val="nil"/>
          <w:bottom w:val="nil"/>
          <w:right w:val="nil"/>
          <w:between w:val="nil"/>
        </w:pBdr>
        <w:rPr>
          <w:lang w:val="en"/>
        </w:rPr>
      </w:pPr>
      <w:r w:rsidRPr="005F4061">
        <w:rPr>
          <w:lang w:val="en"/>
        </w:rPr>
        <w:t>XII.    Selection Method</w:t>
      </w:r>
    </w:p>
    <w:p w14:paraId="5C0DAB50" w14:textId="401DB60F" w:rsidR="74DBE02C" w:rsidRPr="005F4061" w:rsidRDefault="74DBE02C" w:rsidP="74DBE02C">
      <w:pPr>
        <w:pBdr>
          <w:top w:val="nil"/>
          <w:left w:val="nil"/>
          <w:bottom w:val="nil"/>
          <w:right w:val="nil"/>
          <w:between w:val="nil"/>
        </w:pBdr>
        <w:rPr>
          <w:b/>
          <w:bCs/>
          <w:color w:val="000000" w:themeColor="text1"/>
          <w:lang w:val="en"/>
        </w:rPr>
      </w:pPr>
    </w:p>
    <w:p w14:paraId="56DD4DEF" w14:textId="44916F07" w:rsidR="0161C78C" w:rsidRPr="005F4061" w:rsidRDefault="356C2D02" w:rsidP="5FFE8561">
      <w:pPr>
        <w:pBdr>
          <w:top w:val="nil"/>
          <w:left w:val="nil"/>
          <w:bottom w:val="nil"/>
          <w:right w:val="nil"/>
          <w:between w:val="nil"/>
        </w:pBdr>
        <w:spacing w:after="120" w:line="276" w:lineRule="auto"/>
        <w:jc w:val="both"/>
        <w:rPr>
          <w:color w:val="000000" w:themeColor="text1"/>
        </w:rPr>
      </w:pPr>
      <w:r w:rsidRPr="005F4061">
        <w:rPr>
          <w:color w:val="000000" w:themeColor="text1"/>
          <w:lang w:val="en"/>
        </w:rPr>
        <w:t xml:space="preserve"> The Consultant shall be selected based on the Quality Based Selection (QBS) method.   </w:t>
      </w:r>
    </w:p>
    <w:p w14:paraId="1CF006FA" w14:textId="391D723D" w:rsidR="000F14C2" w:rsidRPr="005F4061" w:rsidRDefault="000F14C2" w:rsidP="5FFE8561">
      <w:pPr>
        <w:pBdr>
          <w:top w:val="single" w:sz="4" w:space="8" w:color="1F4E79"/>
        </w:pBdr>
        <w:spacing w:before="200"/>
        <w:rPr>
          <w:i/>
          <w:iCs/>
          <w:color w:val="555555"/>
          <w:sz w:val="19"/>
          <w:szCs w:val="19"/>
        </w:rPr>
      </w:pPr>
    </w:p>
    <w:sectPr w:rsidR="000F14C2" w:rsidRPr="005F4061">
      <w:footerReference w:type="even" r:id="rId8"/>
      <w:footerReference w:type="default" r:id="rId9"/>
      <w:footerReference w:type="firs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682BB2" w14:textId="77777777" w:rsidR="001A6DCD" w:rsidRDefault="001A6DCD">
      <w:r>
        <w:separator/>
      </w:r>
    </w:p>
  </w:endnote>
  <w:endnote w:type="continuationSeparator" w:id="0">
    <w:p w14:paraId="522BE521" w14:textId="77777777" w:rsidR="001A6DCD" w:rsidRDefault="001A6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00000001" w:usb1="00000002" w:usb2="00000000" w:usb3="00000000" w:csb0="0000019F" w:csb1="00000000"/>
  </w:font>
  <w:font w:name="Aptos">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365D1" w14:textId="4281BB13" w:rsidR="00BF60B0" w:rsidRDefault="00BF60B0">
    <w:pPr>
      <w:pStyle w:val="Footer"/>
    </w:pPr>
    <w:r>
      <w:rPr>
        <w:noProof/>
      </w:rPr>
      <mc:AlternateContent>
        <mc:Choice Requires="wps">
          <w:drawing>
            <wp:anchor distT="0" distB="0" distL="0" distR="0" simplePos="0" relativeHeight="251658244" behindDoc="0" locked="0" layoutInCell="1" allowOverlap="1" wp14:anchorId="33B3F550" wp14:editId="19D6D236">
              <wp:simplePos x="635" y="635"/>
              <wp:positionH relativeFrom="page">
                <wp:align>right</wp:align>
              </wp:positionH>
              <wp:positionV relativeFrom="page">
                <wp:align>bottom</wp:align>
              </wp:positionV>
              <wp:extent cx="1172210" cy="345440"/>
              <wp:effectExtent l="0" t="0" r="0" b="0"/>
              <wp:wrapNone/>
              <wp:docPr id="964880816" name="Text Box 2" descr="Official Use Only">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3C0C7C0-316D-488D-A1A1-C54C0EC0FFAF}"/>
                  </a:ext>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35124AA" w14:textId="77777777" w:rsidR="00BF60B0" w:rsidRPr="00E22877" w:rsidRDefault="00BF60B0" w:rsidP="00E22877">
                          <w:pPr>
                            <w:rPr>
                              <w:rFonts w:ascii="Aptos" w:eastAsia="Aptos" w:hAnsi="Aptos" w:cs="Aptos"/>
                              <w:noProof/>
                              <w:color w:val="000000"/>
                              <w:sz w:val="20"/>
                              <w:szCs w:val="20"/>
                            </w:rPr>
                          </w:pPr>
                          <w:r w:rsidRPr="00E22877">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B3F550"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7.2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textbox style="mso-fit-shape-to-text:t" inset="0,0,20pt,15pt">
                <w:txbxContent>
                  <w:p w14:paraId="635124AA" w14:textId="77777777" w:rsidR="00BF60B0" w:rsidRPr="00E22877" w:rsidRDefault="00BF60B0" w:rsidP="00E22877">
                    <w:pPr>
                      <w:rPr>
                        <w:rFonts w:ascii="Aptos" w:eastAsia="Aptos" w:hAnsi="Aptos" w:cs="Aptos"/>
                        <w:noProof/>
                        <w:color w:val="000000"/>
                        <w:sz w:val="20"/>
                        <w:szCs w:val="20"/>
                      </w:rPr>
                    </w:pPr>
                    <w:r w:rsidRPr="00E22877">
                      <w:rPr>
                        <w:rFonts w:ascii="Aptos" w:eastAsia="Aptos" w:hAnsi="Aptos" w:cs="Aptos"/>
                        <w:noProof/>
                        <w:color w:val="000000"/>
                        <w:sz w:val="20"/>
                        <w:szCs w:val="20"/>
                      </w:rPr>
                      <w:t>Official Use Only</w:t>
                    </w:r>
                  </w:p>
                </w:txbxContent>
              </v:textbox>
              <w10:wrap anchorx="page" anchory="page"/>
            </v:shape>
          </w:pict>
        </mc:Fallback>
      </mc:AlternateContent>
    </w:r>
    <w:r w:rsidR="00E22877">
      <w:rPr>
        <w:noProof/>
      </w:rPr>
      <mc:AlternateContent>
        <mc:Choice Requires="wps">
          <w:drawing>
            <wp:anchor distT="0" distB="0" distL="0" distR="0" simplePos="0" relativeHeight="251658241" behindDoc="0" locked="0" layoutInCell="1" allowOverlap="1" wp14:anchorId="0BC8A22D" wp14:editId="6FB5D936">
              <wp:simplePos x="635" y="635"/>
              <wp:positionH relativeFrom="page">
                <wp:align>right</wp:align>
              </wp:positionH>
              <wp:positionV relativeFrom="page">
                <wp:align>bottom</wp:align>
              </wp:positionV>
              <wp:extent cx="1172210" cy="345440"/>
              <wp:effectExtent l="0" t="0" r="0" b="0"/>
              <wp:wrapNone/>
              <wp:docPr id="706348334" name="Text Box 2" descr="Official Use Only">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75F02E9" w14:textId="32FF5BB8" w:rsidR="00E22877" w:rsidRPr="00E22877" w:rsidRDefault="00E22877" w:rsidP="00E22877">
                          <w:pPr>
                            <w:rPr>
                              <w:rFonts w:ascii="Aptos" w:eastAsia="Aptos" w:hAnsi="Aptos" w:cs="Aptos"/>
                              <w:noProof/>
                              <w:color w:val="000000"/>
                              <w:sz w:val="20"/>
                              <w:szCs w:val="20"/>
                            </w:rPr>
                          </w:pPr>
                          <w:r w:rsidRPr="00E22877">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C8A22D" id="_x0000_s1027" type="#_x0000_t202" alt="Official Use Only" style="position:absolute;margin-left:41.1pt;margin-top:0;width:92.3pt;height:27.2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textbox style="mso-fit-shape-to-text:t" inset="0,0,20pt,15pt">
                <w:txbxContent>
                  <w:p w14:paraId="175F02E9" w14:textId="32FF5BB8" w:rsidR="00E22877" w:rsidRPr="00E22877" w:rsidRDefault="00E22877" w:rsidP="00E22877">
                    <w:pPr>
                      <w:rPr>
                        <w:rFonts w:ascii="Aptos" w:eastAsia="Aptos" w:hAnsi="Aptos" w:cs="Aptos"/>
                        <w:noProof/>
                        <w:color w:val="000000"/>
                        <w:sz w:val="20"/>
                        <w:szCs w:val="20"/>
                      </w:rPr>
                    </w:pPr>
                    <w:r w:rsidRPr="00E22877">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A3EBC" w14:textId="05F28FC3" w:rsidR="00BF60B0" w:rsidRDefault="00BF60B0" w:rsidP="3ADA4DB2">
    <w:pPr>
      <w:jc w:val="center"/>
    </w:pPr>
    <w:r>
      <w:rPr>
        <w:noProof/>
        <w:color w:val="888888"/>
        <w:sz w:val="16"/>
        <w:szCs w:val="16"/>
      </w:rPr>
      <mc:AlternateContent>
        <mc:Choice Requires="wps">
          <w:drawing>
            <wp:anchor distT="0" distB="0" distL="0" distR="0" simplePos="0" relativeHeight="251658245" behindDoc="0" locked="0" layoutInCell="1" allowOverlap="1" wp14:anchorId="614B146B" wp14:editId="185B2C8F">
              <wp:simplePos x="635" y="635"/>
              <wp:positionH relativeFrom="page">
                <wp:align>right</wp:align>
              </wp:positionH>
              <wp:positionV relativeFrom="page">
                <wp:align>bottom</wp:align>
              </wp:positionV>
              <wp:extent cx="1172210" cy="345440"/>
              <wp:effectExtent l="0" t="0" r="0" b="0"/>
              <wp:wrapNone/>
              <wp:docPr id="1765160421" name="Text Box 3" descr="Official Use Only">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5EEF48-A9E0-487D-866B-860BD2B2DF1B}"/>
                  </a:ext>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3AF87862" w14:textId="77777777" w:rsidR="00BF60B0" w:rsidRPr="00E22877" w:rsidRDefault="00BF60B0" w:rsidP="00E22877">
                          <w:pPr>
                            <w:rPr>
                              <w:rFonts w:ascii="Aptos" w:eastAsia="Aptos" w:hAnsi="Aptos" w:cs="Aptos"/>
                              <w:noProof/>
                              <w:color w:val="000000"/>
                              <w:sz w:val="20"/>
                              <w:szCs w:val="20"/>
                            </w:rPr>
                          </w:pPr>
                          <w:r w:rsidRPr="00E22877">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4B146B" id="_x0000_t202" coordsize="21600,21600" o:spt="202" path="m,l,21600r21600,l21600,xe">
              <v:stroke joinstyle="miter"/>
              <v:path gradientshapeok="t" o:connecttype="rect"/>
            </v:shapetype>
            <v:shape id="Text Box 3" o:spid="_x0000_s1028" type="#_x0000_t202" alt="Official Use Only" style="position:absolute;left:0;text-align:left;margin-left:41.1pt;margin-top:0;width:92.3pt;height:27.2pt;z-index:251658245;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textbox style="mso-fit-shape-to-text:t" inset="0,0,20pt,15pt">
                <w:txbxContent>
                  <w:p w14:paraId="3AF87862" w14:textId="77777777" w:rsidR="00BF60B0" w:rsidRPr="00E22877" w:rsidRDefault="00BF60B0" w:rsidP="00E22877">
                    <w:pPr>
                      <w:rPr>
                        <w:rFonts w:ascii="Aptos" w:eastAsia="Aptos" w:hAnsi="Aptos" w:cs="Aptos"/>
                        <w:noProof/>
                        <w:color w:val="000000"/>
                        <w:sz w:val="20"/>
                        <w:szCs w:val="20"/>
                      </w:rPr>
                    </w:pPr>
                    <w:r w:rsidRPr="00E22877">
                      <w:rPr>
                        <w:rFonts w:ascii="Aptos" w:eastAsia="Aptos" w:hAnsi="Aptos" w:cs="Aptos"/>
                        <w:noProof/>
                        <w:color w:val="000000"/>
                        <w:sz w:val="20"/>
                        <w:szCs w:val="20"/>
                      </w:rPr>
                      <w:t>Official Use Only</w:t>
                    </w:r>
                  </w:p>
                </w:txbxContent>
              </v:textbox>
              <w10:wrap anchorx="page" anchory="page"/>
            </v:shape>
          </w:pict>
        </mc:Fallback>
      </mc:AlternateContent>
    </w:r>
    <w:r w:rsidR="00E22877">
      <w:rPr>
        <w:noProof/>
        <w:color w:val="888888"/>
        <w:sz w:val="16"/>
        <w:szCs w:val="16"/>
      </w:rPr>
      <mc:AlternateContent>
        <mc:Choice Requires="wps">
          <w:drawing>
            <wp:anchor distT="0" distB="0" distL="0" distR="0" simplePos="0" relativeHeight="251658242" behindDoc="0" locked="0" layoutInCell="1" allowOverlap="1" wp14:anchorId="68304E16" wp14:editId="6FCB04C6">
              <wp:simplePos x="635" y="635"/>
              <wp:positionH relativeFrom="page">
                <wp:align>right</wp:align>
              </wp:positionH>
              <wp:positionV relativeFrom="page">
                <wp:align>bottom</wp:align>
              </wp:positionV>
              <wp:extent cx="1172210" cy="345440"/>
              <wp:effectExtent l="0" t="0" r="0" b="0"/>
              <wp:wrapNone/>
              <wp:docPr id="1407332816" name="Text Box 3" descr="Official Use Only">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C25036D" w14:textId="63016648" w:rsidR="00E22877" w:rsidRPr="00E22877" w:rsidRDefault="00E22877" w:rsidP="00E22877">
                          <w:pPr>
                            <w:rPr>
                              <w:rFonts w:ascii="Aptos" w:eastAsia="Aptos" w:hAnsi="Aptos" w:cs="Aptos"/>
                              <w:noProof/>
                              <w:color w:val="000000"/>
                              <w:sz w:val="20"/>
                              <w:szCs w:val="20"/>
                            </w:rPr>
                          </w:pPr>
                          <w:r w:rsidRPr="00E22877">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304E16" id="_x0000_s1029" type="#_x0000_t202" alt="Official Use Only" style="position:absolute;left:0;text-align:left;margin-left:41.1pt;margin-top:0;width:92.3pt;height:27.2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D4EwIAACIEAAAOAAAAZHJzL2Uyb0RvYy54bWysU01v2zAMvQ/YfxB0X2xnyT6MOEXWIsOA&#10;oi2QDj0rshwbkESBUmJnv36UEidbt9Owi0yRND/ee1rcDEazg0Lfga14Mck5U1ZC3dldxb8/r999&#10;4swHYWuhwaqKH5XnN8u3bxa9K9UUWtC1QkZFrC97V/E2BFdmmZetMsJPwClLwQbQiEBX3GU1ip6q&#10;G51N8/xD1gPWDkEq78l7dwryZarfNEqGx6bxKjBdcZotpBPTuY1ntlyIcofCtZ08jyH+YQojOktN&#10;L6XuRBBsj90fpUwnETw0YSLBZNA0nVRpB9qmyF9ts2mFU2kXAse7C0z+/5WVD4eNe0IWhi8wEIER&#10;kN750pMz7jM0aOKXJmUUJwiPF9jUEJiMPxUfp9OCQpJi72fz2Szhml3/dujDVwWGRaPiSLQktMTh&#10;3gfqSKljSmxmYd1pnajR9jcHJUZPdh0xWmHYDqyrqfk4/hbqI22FcCLcO7nuqPW98OFJIDFM05Jq&#10;wyMdjYa+4nC2OGsBf/zNH/MJeIpy1pNiKm5J0pzpb5YIieIaDUzGdD7Lc3Jv0634nM/jze7NLZAY&#10;C3oXTiaTvBj0aDYI5oVEvYrdKCSspJ4V347mbTjplx6FVKtVSiIxORHu7cbJWDpiFgF9Hl4EujPq&#10;gfh6gFFTonwF/ik3/undah+IgsRMxPeE5hl2EmIi7PxootJ/vaes69Ne/gQAAP//AwBQSwMEFAAG&#10;AAgAAAAhADsetJjcAAAABAEAAA8AAABkcnMvZG93bnJldi54bWxMj1FLwzAUhd8H/odwBV+GS5Ua&#10;Rm06dOCDIAO3oa9pc23LkpuSZF337818cS8XDudwznfL1WQNG9GH3pGEh0UGDKlxuqdWwn73dr8E&#10;FqIirYwjlHDGAKvqZlaqQrsTfeK4jS1LJRQKJaGLcSg4D02HVoWFG5CS9+O8VTFJ33Lt1SmVW8Mf&#10;s0xwq3pKC50acN1hc9gerYTXefiqPw7+/L7Jnfge18IMGyHl3e308gws4hT/w3DBT+hQJabaHUkH&#10;ZiSkR+LfvXjLXACrJTzlOfCq5Nfw1S8AAAD//wMAUEsBAi0AFAAGAAgAAAAhALaDOJL+AAAA4QEA&#10;ABMAAAAAAAAAAAAAAAAAAAAAAFtDb250ZW50X1R5cGVzXS54bWxQSwECLQAUAAYACAAAACEAOP0h&#10;/9YAAACUAQAACwAAAAAAAAAAAAAAAAAvAQAAX3JlbHMvLnJlbHNQSwECLQAUAAYACAAAACEAINCw&#10;+BMCAAAiBAAADgAAAAAAAAAAAAAAAAAuAgAAZHJzL2Uyb0RvYy54bWxQSwECLQAUAAYACAAAACEA&#10;Ox60mNwAAAAEAQAADwAAAAAAAAAAAAAAAABtBAAAZHJzL2Rvd25yZXYueG1sUEsFBgAAAAAEAAQA&#10;8wAAAHYFAAAAAA==&#10;" filled="f" stroked="f">
              <v:textbox style="mso-fit-shape-to-text:t" inset="0,0,20pt,15pt">
                <w:txbxContent>
                  <w:p w14:paraId="6C25036D" w14:textId="63016648" w:rsidR="00E22877" w:rsidRPr="00E22877" w:rsidRDefault="00E22877" w:rsidP="00E22877">
                    <w:pPr>
                      <w:rPr>
                        <w:rFonts w:ascii="Aptos" w:eastAsia="Aptos" w:hAnsi="Aptos" w:cs="Aptos"/>
                        <w:noProof/>
                        <w:color w:val="000000"/>
                        <w:sz w:val="20"/>
                        <w:szCs w:val="20"/>
                      </w:rPr>
                    </w:pPr>
                    <w:r w:rsidRPr="00E22877">
                      <w:rPr>
                        <w:rFonts w:ascii="Aptos" w:eastAsia="Aptos" w:hAnsi="Aptos" w:cs="Aptos"/>
                        <w:noProof/>
                        <w:color w:val="000000"/>
                        <w:sz w:val="20"/>
                        <w:szCs w:val="20"/>
                      </w:rPr>
                      <w:t>Official Use Only</w:t>
                    </w:r>
                  </w:p>
                </w:txbxContent>
              </v:textbox>
              <w10:wrap anchorx="page" anchory="page"/>
            </v:shape>
          </w:pict>
        </mc:Fallback>
      </mc:AlternateContent>
    </w:r>
    <w:r w:rsidRPr="3ADA4DB2">
      <w:rPr>
        <w:color w:val="888888"/>
        <w:sz w:val="16"/>
        <w:szCs w:val="16"/>
      </w:rPr>
      <w:t xml:space="preserve">WISTLE (P508559) — Lower-Secondary Curriculum &amp; Assessment TOR (Dominica &amp; Grenada)  |  Page </w:t>
    </w:r>
    <w:r w:rsidRPr="3ADA4DB2">
      <w:rPr>
        <w:color w:val="888888"/>
        <w:sz w:val="16"/>
        <w:szCs w:val="16"/>
      </w:rPr>
      <w:fldChar w:fldCharType="begin"/>
    </w:r>
    <w:r w:rsidRPr="3ADA4DB2">
      <w:rPr>
        <w:color w:val="888888"/>
        <w:sz w:val="16"/>
        <w:szCs w:val="16"/>
      </w:rPr>
      <w:instrText>PAGE</w:instrText>
    </w:r>
    <w:r w:rsidRPr="3ADA4DB2">
      <w:rPr>
        <w:color w:val="888888"/>
        <w:sz w:val="16"/>
        <w:szCs w:val="16"/>
      </w:rPr>
      <w:fldChar w:fldCharType="separate"/>
    </w:r>
    <w:r w:rsidR="00A1312C">
      <w:rPr>
        <w:noProof/>
        <w:color w:val="888888"/>
        <w:sz w:val="16"/>
        <w:szCs w:val="16"/>
      </w:rPr>
      <w:t>1</w:t>
    </w:r>
    <w:r w:rsidRPr="3ADA4DB2">
      <w:rPr>
        <w:color w:val="888888"/>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56ABD" w14:textId="4581E6BC" w:rsidR="00BF60B0" w:rsidRDefault="00BF60B0">
    <w:pPr>
      <w:pStyle w:val="Footer"/>
    </w:pPr>
    <w:r>
      <w:rPr>
        <w:noProof/>
      </w:rPr>
      <mc:AlternateContent>
        <mc:Choice Requires="wps">
          <w:drawing>
            <wp:anchor distT="0" distB="0" distL="0" distR="0" simplePos="0" relativeHeight="251658243" behindDoc="0" locked="0" layoutInCell="1" allowOverlap="1" wp14:anchorId="7CC91BB3" wp14:editId="4A38933E">
              <wp:simplePos x="635" y="635"/>
              <wp:positionH relativeFrom="page">
                <wp:align>right</wp:align>
              </wp:positionH>
              <wp:positionV relativeFrom="page">
                <wp:align>bottom</wp:align>
              </wp:positionV>
              <wp:extent cx="1172210" cy="345440"/>
              <wp:effectExtent l="0" t="0" r="0" b="0"/>
              <wp:wrapNone/>
              <wp:docPr id="1435827194" name="Text Box 1" descr="Official Use Only">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621383A-A05D-4B97-9F8A-43211D2FC2BD}"/>
                  </a:ext>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92F0D48" w14:textId="77777777" w:rsidR="00BF60B0" w:rsidRPr="00E22877" w:rsidRDefault="00BF60B0" w:rsidP="00E22877">
                          <w:pPr>
                            <w:rPr>
                              <w:rFonts w:ascii="Aptos" w:eastAsia="Aptos" w:hAnsi="Aptos" w:cs="Aptos"/>
                              <w:noProof/>
                              <w:color w:val="000000"/>
                              <w:sz w:val="20"/>
                              <w:szCs w:val="20"/>
                            </w:rPr>
                          </w:pPr>
                          <w:r w:rsidRPr="00E22877">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C91BB3" id="_x0000_t202" coordsize="21600,21600" o:spt="202" path="m,l,21600r21600,l21600,xe">
              <v:stroke joinstyle="miter"/>
              <v:path gradientshapeok="t" o:connecttype="rect"/>
            </v:shapetype>
            <v:shape id="Text Box 1" o:spid="_x0000_s1030" type="#_x0000_t202" alt="Official Use Only" style="position:absolute;margin-left:41.1pt;margin-top:0;width:92.3pt;height:27.2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9b1FAIAACI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Kz4bx99CfaStEE6EeyfXLbW+Fz48CSSGaVpS&#10;bXikQxvoKw5ni7MG8Mff/DGfgKcoZz0ppuKWJM2Z+WaJkCiu0cBkTOezPCf3Nt2Kz/k83uy+uwUS&#10;Y0HvwslkkheDGU2N0L2QqFexG4WEldSz4tvRvA0n/dKjkGq1SkkkJifCvd04GUtHzCKgz8OLQHdG&#10;PRBfDzBqSpSvwD/lxj+9W+0DUZCYifie0DzDTkJMhJ0fTVT6r/eUdX3ay5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HJz&#10;1vUUAgAAIgQAAA4AAAAAAAAAAAAAAAAALgIAAGRycy9lMm9Eb2MueG1sUEsBAi0AFAAGAAgAAAAh&#10;ADsetJjcAAAABAEAAA8AAAAAAAAAAAAAAAAAbgQAAGRycy9kb3ducmV2LnhtbFBLBQYAAAAABAAE&#10;APMAAAB3BQAAAAA=&#10;" filled="f" stroked="f">
              <v:textbox style="mso-fit-shape-to-text:t" inset="0,0,20pt,15pt">
                <w:txbxContent>
                  <w:p w14:paraId="692F0D48" w14:textId="77777777" w:rsidR="00BF60B0" w:rsidRPr="00E22877" w:rsidRDefault="00BF60B0" w:rsidP="00E22877">
                    <w:pPr>
                      <w:rPr>
                        <w:rFonts w:ascii="Aptos" w:eastAsia="Aptos" w:hAnsi="Aptos" w:cs="Aptos"/>
                        <w:noProof/>
                        <w:color w:val="000000"/>
                        <w:sz w:val="20"/>
                        <w:szCs w:val="20"/>
                      </w:rPr>
                    </w:pPr>
                    <w:r w:rsidRPr="00E22877">
                      <w:rPr>
                        <w:rFonts w:ascii="Aptos" w:eastAsia="Aptos" w:hAnsi="Aptos" w:cs="Aptos"/>
                        <w:noProof/>
                        <w:color w:val="000000"/>
                        <w:sz w:val="20"/>
                        <w:szCs w:val="20"/>
                      </w:rPr>
                      <w:t>Official Use Only</w:t>
                    </w:r>
                  </w:p>
                </w:txbxContent>
              </v:textbox>
              <w10:wrap anchorx="page" anchory="page"/>
            </v:shape>
          </w:pict>
        </mc:Fallback>
      </mc:AlternateContent>
    </w:r>
    <w:r w:rsidR="00E22877">
      <w:rPr>
        <w:noProof/>
      </w:rPr>
      <mc:AlternateContent>
        <mc:Choice Requires="wps">
          <w:drawing>
            <wp:anchor distT="0" distB="0" distL="0" distR="0" simplePos="0" relativeHeight="251658240" behindDoc="0" locked="0" layoutInCell="1" allowOverlap="1" wp14:anchorId="2A1CC1C6" wp14:editId="3DEF6FA4">
              <wp:simplePos x="635" y="635"/>
              <wp:positionH relativeFrom="page">
                <wp:align>right</wp:align>
              </wp:positionH>
              <wp:positionV relativeFrom="page">
                <wp:align>bottom</wp:align>
              </wp:positionV>
              <wp:extent cx="1172210" cy="345440"/>
              <wp:effectExtent l="0" t="0" r="0" b="0"/>
              <wp:wrapNone/>
              <wp:docPr id="450351301" name="Text Box 1" descr="Official Use Only">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20B50CF6" w14:textId="5CBEFDED" w:rsidR="00E22877" w:rsidRPr="00E22877" w:rsidRDefault="00E22877" w:rsidP="00E22877">
                          <w:pPr>
                            <w:rPr>
                              <w:rFonts w:ascii="Aptos" w:eastAsia="Aptos" w:hAnsi="Aptos" w:cs="Aptos"/>
                              <w:noProof/>
                              <w:color w:val="000000"/>
                              <w:sz w:val="20"/>
                              <w:szCs w:val="20"/>
                            </w:rPr>
                          </w:pPr>
                          <w:r w:rsidRPr="00E22877">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1CC1C6" id="_x0000_s1031" type="#_x0000_t202" alt="Official Use Only" style="position:absolute;margin-left:41.1pt;margin-top:0;width:92.3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9FAIAACI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Kz4fx99CfaStEE6EeyfXLbW+Fz48CSSGaVpS&#10;bXikQxvoKw5ni7MG8Mff/DGfgKcoZz0ppuKWJM2Z+WaJkCiu0cBkTOezPCf3Nt2Kz/k83uy+uwUS&#10;Y0HvwslkkheDGU2N0L2QqFexG4WEldSz4tvRvA0n/dKjkGq1SkkkJifCvd04GUtHzCKgz8OLQHdG&#10;PRBfDzBqSpSvwD/lxj+9W+0DUZCYifie0DzDTkJMhJ0fTVT6r/eUdX3ay5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IL8&#10;V30UAgAAIgQAAA4AAAAAAAAAAAAAAAAALgIAAGRycy9lMm9Eb2MueG1sUEsBAi0AFAAGAAgAAAAh&#10;ADsetJjcAAAABAEAAA8AAAAAAAAAAAAAAAAAbgQAAGRycy9kb3ducmV2LnhtbFBLBQYAAAAABAAE&#10;APMAAAB3BQAAAAA=&#10;" filled="f" stroked="f">
              <v:textbox style="mso-fit-shape-to-text:t" inset="0,0,20pt,15pt">
                <w:txbxContent>
                  <w:p w14:paraId="20B50CF6" w14:textId="5CBEFDED" w:rsidR="00E22877" w:rsidRPr="00E22877" w:rsidRDefault="00E22877" w:rsidP="00E22877">
                    <w:pPr>
                      <w:rPr>
                        <w:rFonts w:ascii="Aptos" w:eastAsia="Aptos" w:hAnsi="Aptos" w:cs="Aptos"/>
                        <w:noProof/>
                        <w:color w:val="000000"/>
                        <w:sz w:val="20"/>
                        <w:szCs w:val="20"/>
                      </w:rPr>
                    </w:pPr>
                    <w:r w:rsidRPr="00E22877">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64CB80" w14:textId="77777777" w:rsidR="001A6DCD" w:rsidRDefault="001A6DCD">
      <w:r>
        <w:separator/>
      </w:r>
    </w:p>
  </w:footnote>
  <w:footnote w:type="continuationSeparator" w:id="0">
    <w:p w14:paraId="2476C2BB" w14:textId="77777777" w:rsidR="001A6DCD" w:rsidRDefault="001A6DCD">
      <w:r>
        <w:continuationSeparator/>
      </w:r>
    </w:p>
  </w:footnote>
  <w:footnote w:id="1">
    <w:p w14:paraId="0DB0512C" w14:textId="7A389D13" w:rsidR="00FF0C61" w:rsidRDefault="00FF0C61">
      <w:pPr>
        <w:pStyle w:val="FootnoteText"/>
      </w:pPr>
      <w:r>
        <w:rPr>
          <w:rStyle w:val="FootnoteReference"/>
        </w:rPr>
        <w:footnoteRef/>
      </w:r>
      <w:r>
        <w:t xml:space="preserve"> </w:t>
      </w:r>
      <w:r w:rsidRPr="00FF0C61">
        <w:t>Core subjects are Mathematics, English Language, Science, Social Studies.</w:t>
      </w:r>
    </w:p>
  </w:footnote>
  <w:footnote w:id="2">
    <w:p w14:paraId="12AF66EB" w14:textId="3C109706" w:rsidR="45E113BA" w:rsidRDefault="45E113BA" w:rsidP="00FA301D">
      <w:pPr>
        <w:pStyle w:val="FootnoteText"/>
      </w:pPr>
      <w:r w:rsidRPr="45E113BA">
        <w:rPr>
          <w:rStyle w:val="FootnoteReference"/>
        </w:rPr>
        <w:footnoteRef/>
      </w:r>
      <w:r>
        <w:t xml:space="preserve"> Using Universal Design for Learning (UDL) framework.</w:t>
      </w:r>
    </w:p>
  </w:footnote>
  <w:footnote w:id="3">
    <w:p w14:paraId="480CA3D5" w14:textId="1290112A" w:rsidR="45E113BA" w:rsidRDefault="45E113BA" w:rsidP="00FA301D">
      <w:pPr>
        <w:pStyle w:val="FootnoteText"/>
      </w:pPr>
      <w:r w:rsidRPr="45E113BA">
        <w:rPr>
          <w:rStyle w:val="FootnoteReference"/>
        </w:rPr>
        <w:footnoteRef/>
      </w:r>
      <w:r>
        <w:t xml:space="preserve"> The inception report must include a risk analysis with a key aspect linked to stakeholders (ownership, change management) and to challenges that could occur in the implementation of the curriculum and assessment reform.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68707"/>
    <w:multiLevelType w:val="hybridMultilevel"/>
    <w:tmpl w:val="72A6AD20"/>
    <w:lvl w:ilvl="0" w:tplc="1C4E28B8">
      <w:start w:val="1"/>
      <w:numFmt w:val="decimal"/>
      <w:lvlText w:val="●"/>
      <w:lvlJc w:val="left"/>
      <w:pPr>
        <w:ind w:left="720" w:hanging="360"/>
      </w:pPr>
      <w:rPr>
        <w:rFonts w:ascii="Times New Roman" w:hAnsi="Times New Roman" w:hint="default"/>
      </w:rPr>
    </w:lvl>
    <w:lvl w:ilvl="1" w:tplc="75EA0114">
      <w:start w:val="1"/>
      <w:numFmt w:val="lowerLetter"/>
      <w:lvlText w:val="%2."/>
      <w:lvlJc w:val="left"/>
      <w:pPr>
        <w:ind w:left="1440" w:hanging="360"/>
      </w:pPr>
    </w:lvl>
    <w:lvl w:ilvl="2" w:tplc="95EE40D6">
      <w:start w:val="1"/>
      <w:numFmt w:val="lowerRoman"/>
      <w:lvlText w:val="%3."/>
      <w:lvlJc w:val="right"/>
      <w:pPr>
        <w:ind w:left="2160" w:hanging="180"/>
      </w:pPr>
    </w:lvl>
    <w:lvl w:ilvl="3" w:tplc="D55EFFEA">
      <w:start w:val="1"/>
      <w:numFmt w:val="decimal"/>
      <w:lvlText w:val="%4."/>
      <w:lvlJc w:val="left"/>
      <w:pPr>
        <w:ind w:left="2880" w:hanging="360"/>
      </w:pPr>
    </w:lvl>
    <w:lvl w:ilvl="4" w:tplc="464C4D56">
      <w:start w:val="1"/>
      <w:numFmt w:val="lowerLetter"/>
      <w:lvlText w:val="%5."/>
      <w:lvlJc w:val="left"/>
      <w:pPr>
        <w:ind w:left="3600" w:hanging="360"/>
      </w:pPr>
    </w:lvl>
    <w:lvl w:ilvl="5" w:tplc="3CB4158C">
      <w:start w:val="1"/>
      <w:numFmt w:val="lowerRoman"/>
      <w:lvlText w:val="%6."/>
      <w:lvlJc w:val="right"/>
      <w:pPr>
        <w:ind w:left="4320" w:hanging="180"/>
      </w:pPr>
    </w:lvl>
    <w:lvl w:ilvl="6" w:tplc="22E65BDE">
      <w:start w:val="1"/>
      <w:numFmt w:val="decimal"/>
      <w:lvlText w:val="%7."/>
      <w:lvlJc w:val="left"/>
      <w:pPr>
        <w:ind w:left="5040" w:hanging="360"/>
      </w:pPr>
    </w:lvl>
    <w:lvl w:ilvl="7" w:tplc="B28E9642">
      <w:start w:val="1"/>
      <w:numFmt w:val="lowerLetter"/>
      <w:lvlText w:val="%8."/>
      <w:lvlJc w:val="left"/>
      <w:pPr>
        <w:ind w:left="5760" w:hanging="360"/>
      </w:pPr>
    </w:lvl>
    <w:lvl w:ilvl="8" w:tplc="EE863FDA">
      <w:start w:val="1"/>
      <w:numFmt w:val="lowerRoman"/>
      <w:lvlText w:val="%9."/>
      <w:lvlJc w:val="right"/>
      <w:pPr>
        <w:ind w:left="6480" w:hanging="180"/>
      </w:pPr>
    </w:lvl>
  </w:abstractNum>
  <w:abstractNum w:abstractNumId="1" w15:restartNumberingAfterBreak="0">
    <w:nsid w:val="0E3BEB5B"/>
    <w:multiLevelType w:val="hybridMultilevel"/>
    <w:tmpl w:val="90547C46"/>
    <w:lvl w:ilvl="0" w:tplc="17A0BE94">
      <w:start w:val="1"/>
      <w:numFmt w:val="bullet"/>
      <w:lvlText w:val="•"/>
      <w:lvlJc w:val="left"/>
      <w:pPr>
        <w:ind w:left="460" w:hanging="240"/>
      </w:pPr>
    </w:lvl>
    <w:lvl w:ilvl="1" w:tplc="D4124372">
      <w:start w:val="1"/>
      <w:numFmt w:val="bullet"/>
      <w:lvlText w:val="–"/>
      <w:lvlJc w:val="left"/>
      <w:pPr>
        <w:ind w:left="920" w:hanging="240"/>
      </w:pPr>
    </w:lvl>
    <w:lvl w:ilvl="2" w:tplc="C7520E16">
      <w:numFmt w:val="decimal"/>
      <w:lvlText w:val=""/>
      <w:lvlJc w:val="left"/>
    </w:lvl>
    <w:lvl w:ilvl="3" w:tplc="CCD0F1F8">
      <w:numFmt w:val="decimal"/>
      <w:lvlText w:val=""/>
      <w:lvlJc w:val="left"/>
    </w:lvl>
    <w:lvl w:ilvl="4" w:tplc="5EBCEB76">
      <w:numFmt w:val="decimal"/>
      <w:lvlText w:val=""/>
      <w:lvlJc w:val="left"/>
    </w:lvl>
    <w:lvl w:ilvl="5" w:tplc="C9CE9EC4">
      <w:numFmt w:val="decimal"/>
      <w:lvlText w:val=""/>
      <w:lvlJc w:val="left"/>
    </w:lvl>
    <w:lvl w:ilvl="6" w:tplc="4606DB90">
      <w:numFmt w:val="decimal"/>
      <w:lvlText w:val=""/>
      <w:lvlJc w:val="left"/>
    </w:lvl>
    <w:lvl w:ilvl="7" w:tplc="CBBA2426">
      <w:numFmt w:val="decimal"/>
      <w:lvlText w:val=""/>
      <w:lvlJc w:val="left"/>
    </w:lvl>
    <w:lvl w:ilvl="8" w:tplc="43C07516">
      <w:numFmt w:val="decimal"/>
      <w:lvlText w:val=""/>
      <w:lvlJc w:val="left"/>
    </w:lvl>
  </w:abstractNum>
  <w:abstractNum w:abstractNumId="2" w15:restartNumberingAfterBreak="0">
    <w:nsid w:val="3DD822E6"/>
    <w:multiLevelType w:val="hybridMultilevel"/>
    <w:tmpl w:val="FFFFFFFF"/>
    <w:lvl w:ilvl="0" w:tplc="65862B0C">
      <w:start w:val="1"/>
      <w:numFmt w:val="bullet"/>
      <w:lvlText w:val=""/>
      <w:lvlJc w:val="left"/>
      <w:pPr>
        <w:ind w:left="720" w:hanging="360"/>
      </w:pPr>
      <w:rPr>
        <w:rFonts w:ascii="Symbol" w:hAnsi="Symbol" w:hint="default"/>
      </w:rPr>
    </w:lvl>
    <w:lvl w:ilvl="1" w:tplc="C54220E6">
      <w:start w:val="1"/>
      <w:numFmt w:val="bullet"/>
      <w:lvlText w:val="o"/>
      <w:lvlJc w:val="left"/>
      <w:pPr>
        <w:ind w:left="1440" w:hanging="360"/>
      </w:pPr>
      <w:rPr>
        <w:rFonts w:ascii="Courier New" w:hAnsi="Courier New" w:hint="default"/>
      </w:rPr>
    </w:lvl>
    <w:lvl w:ilvl="2" w:tplc="A044C1CE">
      <w:start w:val="1"/>
      <w:numFmt w:val="bullet"/>
      <w:lvlText w:val=""/>
      <w:lvlJc w:val="left"/>
      <w:pPr>
        <w:ind w:left="2160" w:hanging="360"/>
      </w:pPr>
      <w:rPr>
        <w:rFonts w:ascii="Wingdings" w:hAnsi="Wingdings" w:hint="default"/>
      </w:rPr>
    </w:lvl>
    <w:lvl w:ilvl="3" w:tplc="7D964EDE">
      <w:start w:val="1"/>
      <w:numFmt w:val="bullet"/>
      <w:lvlText w:val=""/>
      <w:lvlJc w:val="left"/>
      <w:pPr>
        <w:ind w:left="2880" w:hanging="360"/>
      </w:pPr>
      <w:rPr>
        <w:rFonts w:ascii="Symbol" w:hAnsi="Symbol" w:hint="default"/>
      </w:rPr>
    </w:lvl>
    <w:lvl w:ilvl="4" w:tplc="08829CE4">
      <w:start w:val="1"/>
      <w:numFmt w:val="bullet"/>
      <w:lvlText w:val="o"/>
      <w:lvlJc w:val="left"/>
      <w:pPr>
        <w:ind w:left="3600" w:hanging="360"/>
      </w:pPr>
      <w:rPr>
        <w:rFonts w:ascii="Courier New" w:hAnsi="Courier New" w:hint="default"/>
      </w:rPr>
    </w:lvl>
    <w:lvl w:ilvl="5" w:tplc="580AF06C">
      <w:start w:val="1"/>
      <w:numFmt w:val="bullet"/>
      <w:lvlText w:val=""/>
      <w:lvlJc w:val="left"/>
      <w:pPr>
        <w:ind w:left="4320" w:hanging="360"/>
      </w:pPr>
      <w:rPr>
        <w:rFonts w:ascii="Wingdings" w:hAnsi="Wingdings" w:hint="default"/>
      </w:rPr>
    </w:lvl>
    <w:lvl w:ilvl="6" w:tplc="E37A692E">
      <w:start w:val="1"/>
      <w:numFmt w:val="bullet"/>
      <w:lvlText w:val=""/>
      <w:lvlJc w:val="left"/>
      <w:pPr>
        <w:ind w:left="5040" w:hanging="360"/>
      </w:pPr>
      <w:rPr>
        <w:rFonts w:ascii="Symbol" w:hAnsi="Symbol" w:hint="default"/>
      </w:rPr>
    </w:lvl>
    <w:lvl w:ilvl="7" w:tplc="8AE29DE6">
      <w:start w:val="1"/>
      <w:numFmt w:val="bullet"/>
      <w:lvlText w:val="o"/>
      <w:lvlJc w:val="left"/>
      <w:pPr>
        <w:ind w:left="5760" w:hanging="360"/>
      </w:pPr>
      <w:rPr>
        <w:rFonts w:ascii="Courier New" w:hAnsi="Courier New" w:hint="default"/>
      </w:rPr>
    </w:lvl>
    <w:lvl w:ilvl="8" w:tplc="1208434A">
      <w:start w:val="1"/>
      <w:numFmt w:val="bullet"/>
      <w:lvlText w:val=""/>
      <w:lvlJc w:val="left"/>
      <w:pPr>
        <w:ind w:left="6480" w:hanging="360"/>
      </w:pPr>
      <w:rPr>
        <w:rFonts w:ascii="Wingdings" w:hAnsi="Wingdings" w:hint="default"/>
      </w:rPr>
    </w:lvl>
  </w:abstractNum>
  <w:abstractNum w:abstractNumId="3" w15:restartNumberingAfterBreak="0">
    <w:nsid w:val="43A90EE8"/>
    <w:multiLevelType w:val="hybridMultilevel"/>
    <w:tmpl w:val="FFFFFFFF"/>
    <w:lvl w:ilvl="0" w:tplc="BB263FCA">
      <w:start w:val="1"/>
      <w:numFmt w:val="bullet"/>
      <w:lvlText w:val=""/>
      <w:lvlJc w:val="left"/>
      <w:pPr>
        <w:ind w:left="720" w:hanging="360"/>
      </w:pPr>
      <w:rPr>
        <w:rFonts w:ascii="Symbol" w:hAnsi="Symbol" w:hint="default"/>
      </w:rPr>
    </w:lvl>
    <w:lvl w:ilvl="1" w:tplc="90F6A5D6">
      <w:start w:val="1"/>
      <w:numFmt w:val="bullet"/>
      <w:lvlText w:val="o"/>
      <w:lvlJc w:val="left"/>
      <w:pPr>
        <w:ind w:left="1440" w:hanging="360"/>
      </w:pPr>
      <w:rPr>
        <w:rFonts w:ascii="Courier New" w:hAnsi="Courier New" w:hint="default"/>
      </w:rPr>
    </w:lvl>
    <w:lvl w:ilvl="2" w:tplc="A9280396">
      <w:start w:val="1"/>
      <w:numFmt w:val="bullet"/>
      <w:lvlText w:val=""/>
      <w:lvlJc w:val="left"/>
      <w:pPr>
        <w:ind w:left="2160" w:hanging="360"/>
      </w:pPr>
      <w:rPr>
        <w:rFonts w:ascii="Wingdings" w:hAnsi="Wingdings" w:hint="default"/>
      </w:rPr>
    </w:lvl>
    <w:lvl w:ilvl="3" w:tplc="CD048EEE">
      <w:start w:val="1"/>
      <w:numFmt w:val="bullet"/>
      <w:lvlText w:val=""/>
      <w:lvlJc w:val="left"/>
      <w:pPr>
        <w:ind w:left="2880" w:hanging="360"/>
      </w:pPr>
      <w:rPr>
        <w:rFonts w:ascii="Symbol" w:hAnsi="Symbol" w:hint="default"/>
      </w:rPr>
    </w:lvl>
    <w:lvl w:ilvl="4" w:tplc="AB6A7A94">
      <w:start w:val="1"/>
      <w:numFmt w:val="bullet"/>
      <w:lvlText w:val="o"/>
      <w:lvlJc w:val="left"/>
      <w:pPr>
        <w:ind w:left="3600" w:hanging="360"/>
      </w:pPr>
      <w:rPr>
        <w:rFonts w:ascii="Courier New" w:hAnsi="Courier New" w:hint="default"/>
      </w:rPr>
    </w:lvl>
    <w:lvl w:ilvl="5" w:tplc="E5A8F850">
      <w:start w:val="1"/>
      <w:numFmt w:val="bullet"/>
      <w:lvlText w:val=""/>
      <w:lvlJc w:val="left"/>
      <w:pPr>
        <w:ind w:left="4320" w:hanging="360"/>
      </w:pPr>
      <w:rPr>
        <w:rFonts w:ascii="Wingdings" w:hAnsi="Wingdings" w:hint="default"/>
      </w:rPr>
    </w:lvl>
    <w:lvl w:ilvl="6" w:tplc="9D508ECC">
      <w:start w:val="1"/>
      <w:numFmt w:val="bullet"/>
      <w:lvlText w:val=""/>
      <w:lvlJc w:val="left"/>
      <w:pPr>
        <w:ind w:left="5040" w:hanging="360"/>
      </w:pPr>
      <w:rPr>
        <w:rFonts w:ascii="Symbol" w:hAnsi="Symbol" w:hint="default"/>
      </w:rPr>
    </w:lvl>
    <w:lvl w:ilvl="7" w:tplc="B776D33C">
      <w:start w:val="1"/>
      <w:numFmt w:val="bullet"/>
      <w:lvlText w:val="o"/>
      <w:lvlJc w:val="left"/>
      <w:pPr>
        <w:ind w:left="5760" w:hanging="360"/>
      </w:pPr>
      <w:rPr>
        <w:rFonts w:ascii="Courier New" w:hAnsi="Courier New" w:hint="default"/>
      </w:rPr>
    </w:lvl>
    <w:lvl w:ilvl="8" w:tplc="5782971A">
      <w:start w:val="1"/>
      <w:numFmt w:val="bullet"/>
      <w:lvlText w:val=""/>
      <w:lvlJc w:val="left"/>
      <w:pPr>
        <w:ind w:left="6480" w:hanging="360"/>
      </w:pPr>
      <w:rPr>
        <w:rFonts w:ascii="Wingdings" w:hAnsi="Wingdings" w:hint="default"/>
      </w:rPr>
    </w:lvl>
  </w:abstractNum>
  <w:abstractNum w:abstractNumId="4" w15:restartNumberingAfterBreak="0">
    <w:nsid w:val="5C7E1253"/>
    <w:multiLevelType w:val="hybridMultilevel"/>
    <w:tmpl w:val="67A6C426"/>
    <w:lvl w:ilvl="0" w:tplc="FFFFFFFF">
      <w:start w:val="1"/>
      <w:numFmt w:val="bullet"/>
      <w:lvlText w:val="•"/>
      <w:lvlJc w:val="left"/>
      <w:pPr>
        <w:ind w:left="460" w:hanging="240"/>
      </w:pPr>
    </w:lvl>
    <w:lvl w:ilvl="1" w:tplc="04090003">
      <w:start w:val="1"/>
      <w:numFmt w:val="bullet"/>
      <w:lvlText w:val="o"/>
      <w:lvlJc w:val="left"/>
      <w:pPr>
        <w:ind w:left="104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04716D2"/>
    <w:multiLevelType w:val="hybridMultilevel"/>
    <w:tmpl w:val="FA8ED486"/>
    <w:lvl w:ilvl="0" w:tplc="B49E7F08">
      <w:start w:val="1"/>
      <w:numFmt w:val="bullet"/>
      <w:lvlText w:val=""/>
      <w:lvlJc w:val="left"/>
      <w:pPr>
        <w:ind w:left="720" w:hanging="360"/>
      </w:pPr>
      <w:rPr>
        <w:rFonts w:ascii="Symbol" w:hAnsi="Symbol" w:hint="default"/>
      </w:rPr>
    </w:lvl>
    <w:lvl w:ilvl="1" w:tplc="D9D8BEE2">
      <w:start w:val="1"/>
      <w:numFmt w:val="bullet"/>
      <w:lvlText w:val="o"/>
      <w:lvlJc w:val="left"/>
      <w:pPr>
        <w:ind w:left="1440" w:hanging="360"/>
      </w:pPr>
      <w:rPr>
        <w:rFonts w:ascii="Courier New" w:hAnsi="Courier New" w:hint="default"/>
      </w:rPr>
    </w:lvl>
    <w:lvl w:ilvl="2" w:tplc="81F29340">
      <w:start w:val="1"/>
      <w:numFmt w:val="bullet"/>
      <w:lvlText w:val=""/>
      <w:lvlJc w:val="left"/>
      <w:pPr>
        <w:ind w:left="2160" w:hanging="360"/>
      </w:pPr>
      <w:rPr>
        <w:rFonts w:ascii="Wingdings" w:hAnsi="Wingdings" w:hint="default"/>
      </w:rPr>
    </w:lvl>
    <w:lvl w:ilvl="3" w:tplc="9578A952">
      <w:start w:val="1"/>
      <w:numFmt w:val="bullet"/>
      <w:lvlText w:val=""/>
      <w:lvlJc w:val="left"/>
      <w:pPr>
        <w:ind w:left="2880" w:hanging="360"/>
      </w:pPr>
      <w:rPr>
        <w:rFonts w:ascii="Symbol" w:hAnsi="Symbol" w:hint="default"/>
      </w:rPr>
    </w:lvl>
    <w:lvl w:ilvl="4" w:tplc="36B2BF04">
      <w:start w:val="1"/>
      <w:numFmt w:val="bullet"/>
      <w:lvlText w:val="o"/>
      <w:lvlJc w:val="left"/>
      <w:pPr>
        <w:ind w:left="3600" w:hanging="360"/>
      </w:pPr>
      <w:rPr>
        <w:rFonts w:ascii="Courier New" w:hAnsi="Courier New" w:hint="default"/>
      </w:rPr>
    </w:lvl>
    <w:lvl w:ilvl="5" w:tplc="97786B98">
      <w:start w:val="1"/>
      <w:numFmt w:val="bullet"/>
      <w:lvlText w:val=""/>
      <w:lvlJc w:val="left"/>
      <w:pPr>
        <w:ind w:left="4320" w:hanging="360"/>
      </w:pPr>
      <w:rPr>
        <w:rFonts w:ascii="Wingdings" w:hAnsi="Wingdings" w:hint="default"/>
      </w:rPr>
    </w:lvl>
    <w:lvl w:ilvl="6" w:tplc="06401876">
      <w:start w:val="1"/>
      <w:numFmt w:val="bullet"/>
      <w:lvlText w:val=""/>
      <w:lvlJc w:val="left"/>
      <w:pPr>
        <w:ind w:left="5040" w:hanging="360"/>
      </w:pPr>
      <w:rPr>
        <w:rFonts w:ascii="Symbol" w:hAnsi="Symbol" w:hint="default"/>
      </w:rPr>
    </w:lvl>
    <w:lvl w:ilvl="7" w:tplc="ECD4478E">
      <w:start w:val="1"/>
      <w:numFmt w:val="bullet"/>
      <w:lvlText w:val="o"/>
      <w:lvlJc w:val="left"/>
      <w:pPr>
        <w:ind w:left="5760" w:hanging="360"/>
      </w:pPr>
      <w:rPr>
        <w:rFonts w:ascii="Courier New" w:hAnsi="Courier New" w:hint="default"/>
      </w:rPr>
    </w:lvl>
    <w:lvl w:ilvl="8" w:tplc="7522F9D2">
      <w:start w:val="1"/>
      <w:numFmt w:val="bullet"/>
      <w:lvlText w:val=""/>
      <w:lvlJc w:val="left"/>
      <w:pPr>
        <w:ind w:left="6480" w:hanging="360"/>
      </w:pPr>
      <w:rPr>
        <w:rFonts w:ascii="Wingdings" w:hAnsi="Wingdings" w:hint="default"/>
      </w:rPr>
    </w:lvl>
  </w:abstractNum>
  <w:abstractNum w:abstractNumId="6" w15:restartNumberingAfterBreak="0">
    <w:nsid w:val="743103CF"/>
    <w:multiLevelType w:val="hybridMultilevel"/>
    <w:tmpl w:val="FFFFFFFF"/>
    <w:lvl w:ilvl="0" w:tplc="5EA0A670">
      <w:start w:val="1"/>
      <w:numFmt w:val="bullet"/>
      <w:lvlText w:val=""/>
      <w:lvlJc w:val="left"/>
      <w:pPr>
        <w:ind w:left="720" w:hanging="360"/>
      </w:pPr>
      <w:rPr>
        <w:rFonts w:ascii="Symbol" w:hAnsi="Symbol" w:hint="default"/>
      </w:rPr>
    </w:lvl>
    <w:lvl w:ilvl="1" w:tplc="AF583A6C">
      <w:start w:val="1"/>
      <w:numFmt w:val="bullet"/>
      <w:lvlText w:val="o"/>
      <w:lvlJc w:val="left"/>
      <w:pPr>
        <w:ind w:left="1440" w:hanging="360"/>
      </w:pPr>
      <w:rPr>
        <w:rFonts w:ascii="Courier New" w:hAnsi="Courier New" w:hint="default"/>
      </w:rPr>
    </w:lvl>
    <w:lvl w:ilvl="2" w:tplc="A45A789C">
      <w:start w:val="1"/>
      <w:numFmt w:val="bullet"/>
      <w:lvlText w:val=""/>
      <w:lvlJc w:val="left"/>
      <w:pPr>
        <w:ind w:left="2160" w:hanging="360"/>
      </w:pPr>
      <w:rPr>
        <w:rFonts w:ascii="Wingdings" w:hAnsi="Wingdings" w:hint="default"/>
      </w:rPr>
    </w:lvl>
    <w:lvl w:ilvl="3" w:tplc="764A68F6">
      <w:start w:val="1"/>
      <w:numFmt w:val="bullet"/>
      <w:lvlText w:val=""/>
      <w:lvlJc w:val="left"/>
      <w:pPr>
        <w:ind w:left="2880" w:hanging="360"/>
      </w:pPr>
      <w:rPr>
        <w:rFonts w:ascii="Symbol" w:hAnsi="Symbol" w:hint="default"/>
      </w:rPr>
    </w:lvl>
    <w:lvl w:ilvl="4" w:tplc="1B56039A">
      <w:start w:val="1"/>
      <w:numFmt w:val="bullet"/>
      <w:lvlText w:val="o"/>
      <w:lvlJc w:val="left"/>
      <w:pPr>
        <w:ind w:left="3600" w:hanging="360"/>
      </w:pPr>
      <w:rPr>
        <w:rFonts w:ascii="Courier New" w:hAnsi="Courier New" w:hint="default"/>
      </w:rPr>
    </w:lvl>
    <w:lvl w:ilvl="5" w:tplc="69B6D4A2">
      <w:start w:val="1"/>
      <w:numFmt w:val="bullet"/>
      <w:lvlText w:val=""/>
      <w:lvlJc w:val="left"/>
      <w:pPr>
        <w:ind w:left="4320" w:hanging="360"/>
      </w:pPr>
      <w:rPr>
        <w:rFonts w:ascii="Wingdings" w:hAnsi="Wingdings" w:hint="default"/>
      </w:rPr>
    </w:lvl>
    <w:lvl w:ilvl="6" w:tplc="DD303EAA">
      <w:start w:val="1"/>
      <w:numFmt w:val="bullet"/>
      <w:lvlText w:val=""/>
      <w:lvlJc w:val="left"/>
      <w:pPr>
        <w:ind w:left="5040" w:hanging="360"/>
      </w:pPr>
      <w:rPr>
        <w:rFonts w:ascii="Symbol" w:hAnsi="Symbol" w:hint="default"/>
      </w:rPr>
    </w:lvl>
    <w:lvl w:ilvl="7" w:tplc="61324DCC">
      <w:start w:val="1"/>
      <w:numFmt w:val="bullet"/>
      <w:lvlText w:val="o"/>
      <w:lvlJc w:val="left"/>
      <w:pPr>
        <w:ind w:left="5760" w:hanging="360"/>
      </w:pPr>
      <w:rPr>
        <w:rFonts w:ascii="Courier New" w:hAnsi="Courier New" w:hint="default"/>
      </w:rPr>
    </w:lvl>
    <w:lvl w:ilvl="8" w:tplc="E298A146">
      <w:start w:val="1"/>
      <w:numFmt w:val="bullet"/>
      <w:lvlText w:val=""/>
      <w:lvlJc w:val="left"/>
      <w:pPr>
        <w:ind w:left="6480" w:hanging="360"/>
      </w:pPr>
      <w:rPr>
        <w:rFonts w:ascii="Wingdings" w:hAnsi="Wingdings" w:hint="default"/>
      </w:rPr>
    </w:lvl>
  </w:abstractNum>
  <w:abstractNum w:abstractNumId="7" w15:restartNumberingAfterBreak="0">
    <w:nsid w:val="763AD049"/>
    <w:multiLevelType w:val="hybridMultilevel"/>
    <w:tmpl w:val="D0BC51DC"/>
    <w:lvl w:ilvl="0" w:tplc="DD32585C">
      <w:start w:val="1"/>
      <w:numFmt w:val="bullet"/>
      <w:lvlText w:val="●"/>
      <w:lvlJc w:val="left"/>
      <w:pPr>
        <w:ind w:left="720" w:hanging="360"/>
      </w:pPr>
    </w:lvl>
    <w:lvl w:ilvl="1" w:tplc="44E0A330">
      <w:start w:val="1"/>
      <w:numFmt w:val="bullet"/>
      <w:lvlText w:val="○"/>
      <w:lvlJc w:val="left"/>
      <w:pPr>
        <w:ind w:left="1440" w:hanging="360"/>
      </w:pPr>
    </w:lvl>
    <w:lvl w:ilvl="2" w:tplc="E2CC6604">
      <w:start w:val="1"/>
      <w:numFmt w:val="bullet"/>
      <w:lvlText w:val="■"/>
      <w:lvlJc w:val="left"/>
      <w:pPr>
        <w:ind w:left="2160" w:hanging="360"/>
      </w:pPr>
    </w:lvl>
    <w:lvl w:ilvl="3" w:tplc="0DA27A38">
      <w:start w:val="1"/>
      <w:numFmt w:val="bullet"/>
      <w:lvlText w:val="●"/>
      <w:lvlJc w:val="left"/>
      <w:pPr>
        <w:ind w:left="2880" w:hanging="360"/>
      </w:pPr>
    </w:lvl>
    <w:lvl w:ilvl="4" w:tplc="29F873BE">
      <w:start w:val="1"/>
      <w:numFmt w:val="bullet"/>
      <w:lvlText w:val="○"/>
      <w:lvlJc w:val="left"/>
      <w:pPr>
        <w:ind w:left="3600" w:hanging="360"/>
      </w:pPr>
    </w:lvl>
    <w:lvl w:ilvl="5" w:tplc="A45A910A">
      <w:start w:val="1"/>
      <w:numFmt w:val="bullet"/>
      <w:lvlText w:val="■"/>
      <w:lvlJc w:val="left"/>
      <w:pPr>
        <w:ind w:left="4320" w:hanging="360"/>
      </w:pPr>
    </w:lvl>
    <w:lvl w:ilvl="6" w:tplc="C0F86BB8">
      <w:start w:val="1"/>
      <w:numFmt w:val="bullet"/>
      <w:lvlText w:val="●"/>
      <w:lvlJc w:val="left"/>
      <w:pPr>
        <w:ind w:left="5040" w:hanging="360"/>
      </w:pPr>
    </w:lvl>
    <w:lvl w:ilvl="7" w:tplc="DE481E9A">
      <w:start w:val="1"/>
      <w:numFmt w:val="bullet"/>
      <w:lvlText w:val="●"/>
      <w:lvlJc w:val="left"/>
      <w:pPr>
        <w:ind w:left="5760" w:hanging="360"/>
      </w:pPr>
    </w:lvl>
    <w:lvl w:ilvl="8" w:tplc="85101A7E">
      <w:start w:val="1"/>
      <w:numFmt w:val="bullet"/>
      <w:lvlText w:val="●"/>
      <w:lvlJc w:val="left"/>
      <w:pPr>
        <w:ind w:left="6480" w:hanging="360"/>
      </w:pPr>
    </w:lvl>
  </w:abstractNum>
  <w:abstractNum w:abstractNumId="8" w15:restartNumberingAfterBreak="0">
    <w:nsid w:val="77944B9C"/>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7E24FBE4"/>
    <w:multiLevelType w:val="hybridMultilevel"/>
    <w:tmpl w:val="806AEEB2"/>
    <w:lvl w:ilvl="0" w:tplc="EBDCE80A">
      <w:start w:val="1"/>
      <w:numFmt w:val="bullet"/>
      <w:lvlText w:val=""/>
      <w:lvlJc w:val="left"/>
      <w:pPr>
        <w:ind w:left="720" w:hanging="360"/>
      </w:pPr>
      <w:rPr>
        <w:rFonts w:ascii="Symbol" w:hAnsi="Symbol" w:hint="default"/>
      </w:rPr>
    </w:lvl>
    <w:lvl w:ilvl="1" w:tplc="5F9C585E">
      <w:start w:val="1"/>
      <w:numFmt w:val="bullet"/>
      <w:lvlText w:val="o"/>
      <w:lvlJc w:val="left"/>
      <w:pPr>
        <w:ind w:left="1440" w:hanging="360"/>
      </w:pPr>
      <w:rPr>
        <w:rFonts w:ascii="Courier New" w:hAnsi="Courier New" w:hint="default"/>
      </w:rPr>
    </w:lvl>
    <w:lvl w:ilvl="2" w:tplc="78DAC664">
      <w:start w:val="1"/>
      <w:numFmt w:val="bullet"/>
      <w:lvlText w:val=""/>
      <w:lvlJc w:val="left"/>
      <w:pPr>
        <w:ind w:left="2160" w:hanging="360"/>
      </w:pPr>
      <w:rPr>
        <w:rFonts w:ascii="Wingdings" w:hAnsi="Wingdings" w:hint="default"/>
      </w:rPr>
    </w:lvl>
    <w:lvl w:ilvl="3" w:tplc="9D400AC2">
      <w:start w:val="1"/>
      <w:numFmt w:val="bullet"/>
      <w:lvlText w:val=""/>
      <w:lvlJc w:val="left"/>
      <w:pPr>
        <w:ind w:left="2880" w:hanging="360"/>
      </w:pPr>
      <w:rPr>
        <w:rFonts w:ascii="Symbol" w:hAnsi="Symbol" w:hint="default"/>
      </w:rPr>
    </w:lvl>
    <w:lvl w:ilvl="4" w:tplc="2A6270A6">
      <w:start w:val="1"/>
      <w:numFmt w:val="bullet"/>
      <w:lvlText w:val="o"/>
      <w:lvlJc w:val="left"/>
      <w:pPr>
        <w:ind w:left="3600" w:hanging="360"/>
      </w:pPr>
      <w:rPr>
        <w:rFonts w:ascii="Courier New" w:hAnsi="Courier New" w:hint="default"/>
      </w:rPr>
    </w:lvl>
    <w:lvl w:ilvl="5" w:tplc="1E1A2994">
      <w:start w:val="1"/>
      <w:numFmt w:val="bullet"/>
      <w:lvlText w:val=""/>
      <w:lvlJc w:val="left"/>
      <w:pPr>
        <w:ind w:left="4320" w:hanging="360"/>
      </w:pPr>
      <w:rPr>
        <w:rFonts w:ascii="Wingdings" w:hAnsi="Wingdings" w:hint="default"/>
      </w:rPr>
    </w:lvl>
    <w:lvl w:ilvl="6" w:tplc="7248B1B0">
      <w:start w:val="1"/>
      <w:numFmt w:val="bullet"/>
      <w:lvlText w:val=""/>
      <w:lvlJc w:val="left"/>
      <w:pPr>
        <w:ind w:left="5040" w:hanging="360"/>
      </w:pPr>
      <w:rPr>
        <w:rFonts w:ascii="Symbol" w:hAnsi="Symbol" w:hint="default"/>
      </w:rPr>
    </w:lvl>
    <w:lvl w:ilvl="7" w:tplc="4CE41FF2">
      <w:start w:val="1"/>
      <w:numFmt w:val="bullet"/>
      <w:lvlText w:val="o"/>
      <w:lvlJc w:val="left"/>
      <w:pPr>
        <w:ind w:left="5760" w:hanging="360"/>
      </w:pPr>
      <w:rPr>
        <w:rFonts w:ascii="Courier New" w:hAnsi="Courier New" w:hint="default"/>
      </w:rPr>
    </w:lvl>
    <w:lvl w:ilvl="8" w:tplc="0518DF84">
      <w:start w:val="1"/>
      <w:numFmt w:val="bullet"/>
      <w:lvlText w:val=""/>
      <w:lvlJc w:val="left"/>
      <w:pPr>
        <w:ind w:left="6480" w:hanging="360"/>
      </w:pPr>
      <w:rPr>
        <w:rFonts w:ascii="Wingdings" w:hAnsi="Wingdings" w:hint="default"/>
      </w:rPr>
    </w:lvl>
  </w:abstractNum>
  <w:abstractNum w:abstractNumId="10" w15:restartNumberingAfterBreak="0">
    <w:nsid w:val="7FD87117"/>
    <w:multiLevelType w:val="multilevel"/>
    <w:tmpl w:val="FFFFFFFF"/>
    <w:lvl w:ilvl="0">
      <w:start w:val="9"/>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9"/>
  </w:num>
  <w:num w:numId="4">
    <w:abstractNumId w:val="5"/>
  </w:num>
  <w:num w:numId="5">
    <w:abstractNumId w:val="6"/>
  </w:num>
  <w:num w:numId="6">
    <w:abstractNumId w:val="10"/>
  </w:num>
  <w:num w:numId="7">
    <w:abstractNumId w:val="3"/>
  </w:num>
  <w:num w:numId="8">
    <w:abstractNumId w:val="1"/>
  </w:num>
  <w:num w:numId="9">
    <w:abstractNumId w:val="8"/>
  </w:num>
  <w:num w:numId="10">
    <w:abstractNumId w:val="1"/>
    <w:lvlOverride w:ilvl="0">
      <w:startOverride w:val="1"/>
    </w:lvlOverride>
  </w:num>
  <w:num w:numId="11">
    <w:abstractNumId w:val="4"/>
  </w:num>
  <w:num w:numId="12">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DA4DB2"/>
    <w:rsid w:val="00005042"/>
    <w:rsid w:val="00010B93"/>
    <w:rsid w:val="00020619"/>
    <w:rsid w:val="0002359A"/>
    <w:rsid w:val="00030F6E"/>
    <w:rsid w:val="00032128"/>
    <w:rsid w:val="000323B0"/>
    <w:rsid w:val="00033B50"/>
    <w:rsid w:val="00036938"/>
    <w:rsid w:val="000442AF"/>
    <w:rsid w:val="000458F9"/>
    <w:rsid w:val="00050B7F"/>
    <w:rsid w:val="00051B58"/>
    <w:rsid w:val="000544B4"/>
    <w:rsid w:val="000610A3"/>
    <w:rsid w:val="000634AC"/>
    <w:rsid w:val="00071D92"/>
    <w:rsid w:val="00071DE1"/>
    <w:rsid w:val="00071F89"/>
    <w:rsid w:val="00072E2C"/>
    <w:rsid w:val="00075BC7"/>
    <w:rsid w:val="0009439F"/>
    <w:rsid w:val="00094898"/>
    <w:rsid w:val="000970B6"/>
    <w:rsid w:val="000A4AA5"/>
    <w:rsid w:val="000B00EC"/>
    <w:rsid w:val="000C283D"/>
    <w:rsid w:val="000C2C16"/>
    <w:rsid w:val="000D4961"/>
    <w:rsid w:val="000D4A0D"/>
    <w:rsid w:val="000D54EF"/>
    <w:rsid w:val="000D63F9"/>
    <w:rsid w:val="000D655C"/>
    <w:rsid w:val="000D7C52"/>
    <w:rsid w:val="000E0269"/>
    <w:rsid w:val="000E0DBD"/>
    <w:rsid w:val="000E11FA"/>
    <w:rsid w:val="000E1624"/>
    <w:rsid w:val="000E4423"/>
    <w:rsid w:val="000E5681"/>
    <w:rsid w:val="000F14C2"/>
    <w:rsid w:val="000F58EC"/>
    <w:rsid w:val="000F5D4F"/>
    <w:rsid w:val="00101F25"/>
    <w:rsid w:val="001046B4"/>
    <w:rsid w:val="001053FC"/>
    <w:rsid w:val="00106929"/>
    <w:rsid w:val="00107869"/>
    <w:rsid w:val="001102C5"/>
    <w:rsid w:val="001115A7"/>
    <w:rsid w:val="00125488"/>
    <w:rsid w:val="0013149F"/>
    <w:rsid w:val="00133C07"/>
    <w:rsid w:val="001403F8"/>
    <w:rsid w:val="001406B7"/>
    <w:rsid w:val="00140FF5"/>
    <w:rsid w:val="0014140C"/>
    <w:rsid w:val="00142C81"/>
    <w:rsid w:val="00143077"/>
    <w:rsid w:val="001450FA"/>
    <w:rsid w:val="00155DBA"/>
    <w:rsid w:val="00162F40"/>
    <w:rsid w:val="0016626A"/>
    <w:rsid w:val="0016656E"/>
    <w:rsid w:val="00167536"/>
    <w:rsid w:val="001702BD"/>
    <w:rsid w:val="001705C5"/>
    <w:rsid w:val="001706E9"/>
    <w:rsid w:val="00173FAE"/>
    <w:rsid w:val="00184148"/>
    <w:rsid w:val="00185D3D"/>
    <w:rsid w:val="0018742E"/>
    <w:rsid w:val="001937CA"/>
    <w:rsid w:val="001950E9"/>
    <w:rsid w:val="001955C7"/>
    <w:rsid w:val="00195773"/>
    <w:rsid w:val="001A00F7"/>
    <w:rsid w:val="001A047C"/>
    <w:rsid w:val="001A2E5C"/>
    <w:rsid w:val="001A3C4B"/>
    <w:rsid w:val="001A5A8E"/>
    <w:rsid w:val="001A6DCD"/>
    <w:rsid w:val="001B17AC"/>
    <w:rsid w:val="001C301F"/>
    <w:rsid w:val="001D0565"/>
    <w:rsid w:val="001D0B54"/>
    <w:rsid w:val="001D3BD5"/>
    <w:rsid w:val="001D3DDF"/>
    <w:rsid w:val="001D5458"/>
    <w:rsid w:val="001E2440"/>
    <w:rsid w:val="001E63A8"/>
    <w:rsid w:val="001E67D7"/>
    <w:rsid w:val="001E7616"/>
    <w:rsid w:val="001F24BD"/>
    <w:rsid w:val="001F3151"/>
    <w:rsid w:val="0020425E"/>
    <w:rsid w:val="002043E4"/>
    <w:rsid w:val="0021001A"/>
    <w:rsid w:val="002109E5"/>
    <w:rsid w:val="00210CD9"/>
    <w:rsid w:val="00215B95"/>
    <w:rsid w:val="002165C3"/>
    <w:rsid w:val="00230E74"/>
    <w:rsid w:val="0023529E"/>
    <w:rsid w:val="0023719E"/>
    <w:rsid w:val="00241179"/>
    <w:rsid w:val="0024639C"/>
    <w:rsid w:val="00250654"/>
    <w:rsid w:val="00251AED"/>
    <w:rsid w:val="002522F7"/>
    <w:rsid w:val="002530B6"/>
    <w:rsid w:val="0026068A"/>
    <w:rsid w:val="002612F9"/>
    <w:rsid w:val="00262B7D"/>
    <w:rsid w:val="00266E43"/>
    <w:rsid w:val="00272B7F"/>
    <w:rsid w:val="00275037"/>
    <w:rsid w:val="002773B1"/>
    <w:rsid w:val="00285DB7"/>
    <w:rsid w:val="0028697D"/>
    <w:rsid w:val="002872CF"/>
    <w:rsid w:val="0028741A"/>
    <w:rsid w:val="00294809"/>
    <w:rsid w:val="002A02E5"/>
    <w:rsid w:val="002A32AB"/>
    <w:rsid w:val="002A3A6D"/>
    <w:rsid w:val="002A444B"/>
    <w:rsid w:val="002A5561"/>
    <w:rsid w:val="002B1479"/>
    <w:rsid w:val="002B50A1"/>
    <w:rsid w:val="002C0A22"/>
    <w:rsid w:val="002C304E"/>
    <w:rsid w:val="002C556C"/>
    <w:rsid w:val="002D3CC4"/>
    <w:rsid w:val="002D5E36"/>
    <w:rsid w:val="002E102C"/>
    <w:rsid w:val="002E275D"/>
    <w:rsid w:val="002E2B2B"/>
    <w:rsid w:val="002E5092"/>
    <w:rsid w:val="002E55EA"/>
    <w:rsid w:val="002E7296"/>
    <w:rsid w:val="002F00A2"/>
    <w:rsid w:val="002F075F"/>
    <w:rsid w:val="002F77E8"/>
    <w:rsid w:val="002F7893"/>
    <w:rsid w:val="002F7B3B"/>
    <w:rsid w:val="00301117"/>
    <w:rsid w:val="00301A61"/>
    <w:rsid w:val="003020DF"/>
    <w:rsid w:val="0030261E"/>
    <w:rsid w:val="00306B30"/>
    <w:rsid w:val="0031311E"/>
    <w:rsid w:val="003136E7"/>
    <w:rsid w:val="00315FDB"/>
    <w:rsid w:val="003235B6"/>
    <w:rsid w:val="003246E0"/>
    <w:rsid w:val="0032546E"/>
    <w:rsid w:val="003259DF"/>
    <w:rsid w:val="00332E6B"/>
    <w:rsid w:val="0033300C"/>
    <w:rsid w:val="0033735A"/>
    <w:rsid w:val="00340A89"/>
    <w:rsid w:val="00342789"/>
    <w:rsid w:val="00353B65"/>
    <w:rsid w:val="0035508B"/>
    <w:rsid w:val="003562A1"/>
    <w:rsid w:val="00361130"/>
    <w:rsid w:val="003616C3"/>
    <w:rsid w:val="00365401"/>
    <w:rsid w:val="00367133"/>
    <w:rsid w:val="003715EC"/>
    <w:rsid w:val="00372563"/>
    <w:rsid w:val="00373B96"/>
    <w:rsid w:val="00377EF6"/>
    <w:rsid w:val="0038121B"/>
    <w:rsid w:val="00381BF2"/>
    <w:rsid w:val="00384537"/>
    <w:rsid w:val="00387E3C"/>
    <w:rsid w:val="00397193"/>
    <w:rsid w:val="00397867"/>
    <w:rsid w:val="003A39CA"/>
    <w:rsid w:val="003A670D"/>
    <w:rsid w:val="003B281D"/>
    <w:rsid w:val="003B46A8"/>
    <w:rsid w:val="003B4776"/>
    <w:rsid w:val="003B73AD"/>
    <w:rsid w:val="003C0E5D"/>
    <w:rsid w:val="003C44C3"/>
    <w:rsid w:val="003C707D"/>
    <w:rsid w:val="003D6520"/>
    <w:rsid w:val="003E2BF0"/>
    <w:rsid w:val="003E754E"/>
    <w:rsid w:val="003F07A1"/>
    <w:rsid w:val="003F1B58"/>
    <w:rsid w:val="003FACFC"/>
    <w:rsid w:val="00406E63"/>
    <w:rsid w:val="004112B9"/>
    <w:rsid w:val="004115FF"/>
    <w:rsid w:val="0042076D"/>
    <w:rsid w:val="00427AF7"/>
    <w:rsid w:val="0043506C"/>
    <w:rsid w:val="00444792"/>
    <w:rsid w:val="004452A3"/>
    <w:rsid w:val="004458E0"/>
    <w:rsid w:val="004465A0"/>
    <w:rsid w:val="004474A3"/>
    <w:rsid w:val="00454A38"/>
    <w:rsid w:val="004565DF"/>
    <w:rsid w:val="0045770C"/>
    <w:rsid w:val="00464102"/>
    <w:rsid w:val="00466944"/>
    <w:rsid w:val="0047563C"/>
    <w:rsid w:val="00477B23"/>
    <w:rsid w:val="00481487"/>
    <w:rsid w:val="00483A64"/>
    <w:rsid w:val="00483CCE"/>
    <w:rsid w:val="00486F4A"/>
    <w:rsid w:val="004A5146"/>
    <w:rsid w:val="004B1CB7"/>
    <w:rsid w:val="004B1FAA"/>
    <w:rsid w:val="004B2983"/>
    <w:rsid w:val="004B346E"/>
    <w:rsid w:val="004B640C"/>
    <w:rsid w:val="004D0EA3"/>
    <w:rsid w:val="004D3A7C"/>
    <w:rsid w:val="004D3F75"/>
    <w:rsid w:val="004D69E4"/>
    <w:rsid w:val="004E3DEF"/>
    <w:rsid w:val="004E692F"/>
    <w:rsid w:val="004E7C4E"/>
    <w:rsid w:val="004F7999"/>
    <w:rsid w:val="005015F8"/>
    <w:rsid w:val="00502969"/>
    <w:rsid w:val="00503513"/>
    <w:rsid w:val="00506AB8"/>
    <w:rsid w:val="00507912"/>
    <w:rsid w:val="0050792B"/>
    <w:rsid w:val="00507CD4"/>
    <w:rsid w:val="0051464A"/>
    <w:rsid w:val="005165D1"/>
    <w:rsid w:val="005223B8"/>
    <w:rsid w:val="005238FA"/>
    <w:rsid w:val="0052635C"/>
    <w:rsid w:val="00547584"/>
    <w:rsid w:val="00565716"/>
    <w:rsid w:val="00567EFC"/>
    <w:rsid w:val="0057105A"/>
    <w:rsid w:val="00571B87"/>
    <w:rsid w:val="00571D37"/>
    <w:rsid w:val="00573769"/>
    <w:rsid w:val="00573B36"/>
    <w:rsid w:val="00575531"/>
    <w:rsid w:val="00586FE7"/>
    <w:rsid w:val="00592479"/>
    <w:rsid w:val="00593BA4"/>
    <w:rsid w:val="005A13FD"/>
    <w:rsid w:val="005B0785"/>
    <w:rsid w:val="005B4B22"/>
    <w:rsid w:val="005B5AF1"/>
    <w:rsid w:val="005C1F3E"/>
    <w:rsid w:val="005C5CAB"/>
    <w:rsid w:val="005C6539"/>
    <w:rsid w:val="005C6A59"/>
    <w:rsid w:val="005D19F1"/>
    <w:rsid w:val="005D27A7"/>
    <w:rsid w:val="005D3847"/>
    <w:rsid w:val="005D4F0F"/>
    <w:rsid w:val="005E0721"/>
    <w:rsid w:val="005E12A0"/>
    <w:rsid w:val="005E17DB"/>
    <w:rsid w:val="005E3D98"/>
    <w:rsid w:val="005E7941"/>
    <w:rsid w:val="005F04D2"/>
    <w:rsid w:val="005F4061"/>
    <w:rsid w:val="006032EA"/>
    <w:rsid w:val="006035AA"/>
    <w:rsid w:val="00603D63"/>
    <w:rsid w:val="006049C9"/>
    <w:rsid w:val="00617463"/>
    <w:rsid w:val="00627BD2"/>
    <w:rsid w:val="006337F2"/>
    <w:rsid w:val="00634564"/>
    <w:rsid w:val="006348B6"/>
    <w:rsid w:val="006356A4"/>
    <w:rsid w:val="006377D0"/>
    <w:rsid w:val="006448C0"/>
    <w:rsid w:val="006452DA"/>
    <w:rsid w:val="00645FFF"/>
    <w:rsid w:val="00646AAE"/>
    <w:rsid w:val="00663A2E"/>
    <w:rsid w:val="00667386"/>
    <w:rsid w:val="00683512"/>
    <w:rsid w:val="00694056"/>
    <w:rsid w:val="006966B6"/>
    <w:rsid w:val="00696CE3"/>
    <w:rsid w:val="00696EAD"/>
    <w:rsid w:val="006A002F"/>
    <w:rsid w:val="006A14E5"/>
    <w:rsid w:val="006A295F"/>
    <w:rsid w:val="006A6225"/>
    <w:rsid w:val="006B16CD"/>
    <w:rsid w:val="006B20FB"/>
    <w:rsid w:val="006B58C0"/>
    <w:rsid w:val="006B7A2C"/>
    <w:rsid w:val="006C1AD2"/>
    <w:rsid w:val="006C5BC4"/>
    <w:rsid w:val="006D1043"/>
    <w:rsid w:val="006D4909"/>
    <w:rsid w:val="006E06B1"/>
    <w:rsid w:val="006E3380"/>
    <w:rsid w:val="006E39C0"/>
    <w:rsid w:val="006F1207"/>
    <w:rsid w:val="006F6E95"/>
    <w:rsid w:val="00711A51"/>
    <w:rsid w:val="00712079"/>
    <w:rsid w:val="007147DB"/>
    <w:rsid w:val="007205A9"/>
    <w:rsid w:val="00734FBA"/>
    <w:rsid w:val="00736D83"/>
    <w:rsid w:val="0073750C"/>
    <w:rsid w:val="00737F6D"/>
    <w:rsid w:val="0074060B"/>
    <w:rsid w:val="00741F6C"/>
    <w:rsid w:val="00744523"/>
    <w:rsid w:val="0074707C"/>
    <w:rsid w:val="00753371"/>
    <w:rsid w:val="0075380B"/>
    <w:rsid w:val="00753B5C"/>
    <w:rsid w:val="00755A86"/>
    <w:rsid w:val="00757B31"/>
    <w:rsid w:val="007642FF"/>
    <w:rsid w:val="00766627"/>
    <w:rsid w:val="00767571"/>
    <w:rsid w:val="00770F9D"/>
    <w:rsid w:val="007726DE"/>
    <w:rsid w:val="00772FA6"/>
    <w:rsid w:val="00773D0D"/>
    <w:rsid w:val="00773E09"/>
    <w:rsid w:val="0077416E"/>
    <w:rsid w:val="0077464F"/>
    <w:rsid w:val="00774DC8"/>
    <w:rsid w:val="00781CD8"/>
    <w:rsid w:val="00782EFB"/>
    <w:rsid w:val="00790A3F"/>
    <w:rsid w:val="007A2F1B"/>
    <w:rsid w:val="007A3ADA"/>
    <w:rsid w:val="007A3F5C"/>
    <w:rsid w:val="007A7F47"/>
    <w:rsid w:val="007B5629"/>
    <w:rsid w:val="007C050A"/>
    <w:rsid w:val="007C0820"/>
    <w:rsid w:val="007C2DBF"/>
    <w:rsid w:val="007C7DB4"/>
    <w:rsid w:val="007D56EF"/>
    <w:rsid w:val="007D5B9B"/>
    <w:rsid w:val="007E5BDC"/>
    <w:rsid w:val="007E7967"/>
    <w:rsid w:val="007F19AA"/>
    <w:rsid w:val="007F549F"/>
    <w:rsid w:val="00802ACD"/>
    <w:rsid w:val="0080588C"/>
    <w:rsid w:val="00811B11"/>
    <w:rsid w:val="00816CEB"/>
    <w:rsid w:val="00817250"/>
    <w:rsid w:val="00817685"/>
    <w:rsid w:val="0082162F"/>
    <w:rsid w:val="0082193A"/>
    <w:rsid w:val="00824B68"/>
    <w:rsid w:val="008373F4"/>
    <w:rsid w:val="008411DC"/>
    <w:rsid w:val="008431DD"/>
    <w:rsid w:val="00844526"/>
    <w:rsid w:val="0084491D"/>
    <w:rsid w:val="00845B9C"/>
    <w:rsid w:val="00851138"/>
    <w:rsid w:val="008567C2"/>
    <w:rsid w:val="00857161"/>
    <w:rsid w:val="008725B9"/>
    <w:rsid w:val="0087357C"/>
    <w:rsid w:val="00875D35"/>
    <w:rsid w:val="00876C1D"/>
    <w:rsid w:val="00877D90"/>
    <w:rsid w:val="008802AD"/>
    <w:rsid w:val="0088097F"/>
    <w:rsid w:val="008922F9"/>
    <w:rsid w:val="008A2407"/>
    <w:rsid w:val="008A36FF"/>
    <w:rsid w:val="008A442C"/>
    <w:rsid w:val="008A480C"/>
    <w:rsid w:val="008C3E34"/>
    <w:rsid w:val="008D6FBF"/>
    <w:rsid w:val="008E45B2"/>
    <w:rsid w:val="008F16F0"/>
    <w:rsid w:val="008F2607"/>
    <w:rsid w:val="008F3A5D"/>
    <w:rsid w:val="008F3D59"/>
    <w:rsid w:val="009004E0"/>
    <w:rsid w:val="00906C0E"/>
    <w:rsid w:val="0091129F"/>
    <w:rsid w:val="0091197D"/>
    <w:rsid w:val="009140FE"/>
    <w:rsid w:val="00914456"/>
    <w:rsid w:val="009160C1"/>
    <w:rsid w:val="009221BA"/>
    <w:rsid w:val="00930552"/>
    <w:rsid w:val="00933257"/>
    <w:rsid w:val="0093418F"/>
    <w:rsid w:val="00935797"/>
    <w:rsid w:val="00944BBF"/>
    <w:rsid w:val="00945C8E"/>
    <w:rsid w:val="009515F9"/>
    <w:rsid w:val="00953ADB"/>
    <w:rsid w:val="00953C44"/>
    <w:rsid w:val="009564CA"/>
    <w:rsid w:val="00957192"/>
    <w:rsid w:val="0096489D"/>
    <w:rsid w:val="00964F25"/>
    <w:rsid w:val="0096601B"/>
    <w:rsid w:val="00971838"/>
    <w:rsid w:val="0097389E"/>
    <w:rsid w:val="00980B55"/>
    <w:rsid w:val="00982B20"/>
    <w:rsid w:val="00984F8E"/>
    <w:rsid w:val="00985E2C"/>
    <w:rsid w:val="00986FED"/>
    <w:rsid w:val="00996C1A"/>
    <w:rsid w:val="009C109B"/>
    <w:rsid w:val="009C1A0C"/>
    <w:rsid w:val="009C283B"/>
    <w:rsid w:val="009C7259"/>
    <w:rsid w:val="009D25FB"/>
    <w:rsid w:val="009D31FE"/>
    <w:rsid w:val="009D3DC7"/>
    <w:rsid w:val="009D588E"/>
    <w:rsid w:val="009D6AC4"/>
    <w:rsid w:val="009D71B9"/>
    <w:rsid w:val="009E060E"/>
    <w:rsid w:val="009E06B6"/>
    <w:rsid w:val="009E2EB6"/>
    <w:rsid w:val="009E3F88"/>
    <w:rsid w:val="009E4217"/>
    <w:rsid w:val="009E6248"/>
    <w:rsid w:val="009E75F2"/>
    <w:rsid w:val="009F16E8"/>
    <w:rsid w:val="009F63A6"/>
    <w:rsid w:val="009F68F0"/>
    <w:rsid w:val="00A05201"/>
    <w:rsid w:val="00A070B3"/>
    <w:rsid w:val="00A075A4"/>
    <w:rsid w:val="00A07712"/>
    <w:rsid w:val="00A12314"/>
    <w:rsid w:val="00A1312C"/>
    <w:rsid w:val="00A27827"/>
    <w:rsid w:val="00A278D9"/>
    <w:rsid w:val="00A3315C"/>
    <w:rsid w:val="00A419F5"/>
    <w:rsid w:val="00A47479"/>
    <w:rsid w:val="00A56F73"/>
    <w:rsid w:val="00A66C44"/>
    <w:rsid w:val="00A716D9"/>
    <w:rsid w:val="00A816C2"/>
    <w:rsid w:val="00A8247C"/>
    <w:rsid w:val="00A84107"/>
    <w:rsid w:val="00A84C5E"/>
    <w:rsid w:val="00A90834"/>
    <w:rsid w:val="00AA0E1B"/>
    <w:rsid w:val="00AA155D"/>
    <w:rsid w:val="00AA4D75"/>
    <w:rsid w:val="00AA716E"/>
    <w:rsid w:val="00AB0053"/>
    <w:rsid w:val="00AB3D21"/>
    <w:rsid w:val="00AB4048"/>
    <w:rsid w:val="00AB5FF6"/>
    <w:rsid w:val="00AB6C39"/>
    <w:rsid w:val="00AC3925"/>
    <w:rsid w:val="00AC569C"/>
    <w:rsid w:val="00AC5721"/>
    <w:rsid w:val="00AD29AF"/>
    <w:rsid w:val="00AD29F4"/>
    <w:rsid w:val="00AD34AC"/>
    <w:rsid w:val="00AD441B"/>
    <w:rsid w:val="00AE0BAC"/>
    <w:rsid w:val="00AE48EF"/>
    <w:rsid w:val="00AF6D72"/>
    <w:rsid w:val="00B058A6"/>
    <w:rsid w:val="00B0609B"/>
    <w:rsid w:val="00B10A3A"/>
    <w:rsid w:val="00B110CC"/>
    <w:rsid w:val="00B11A1B"/>
    <w:rsid w:val="00B12971"/>
    <w:rsid w:val="00B15CF0"/>
    <w:rsid w:val="00B164CE"/>
    <w:rsid w:val="00B172B9"/>
    <w:rsid w:val="00B200E9"/>
    <w:rsid w:val="00B21C36"/>
    <w:rsid w:val="00B277C3"/>
    <w:rsid w:val="00B30F6A"/>
    <w:rsid w:val="00B424CB"/>
    <w:rsid w:val="00B56475"/>
    <w:rsid w:val="00B64FC0"/>
    <w:rsid w:val="00B65E6E"/>
    <w:rsid w:val="00B7300E"/>
    <w:rsid w:val="00B737EC"/>
    <w:rsid w:val="00B7786E"/>
    <w:rsid w:val="00B8051B"/>
    <w:rsid w:val="00B80AE4"/>
    <w:rsid w:val="00B82469"/>
    <w:rsid w:val="00B85A4F"/>
    <w:rsid w:val="00B94624"/>
    <w:rsid w:val="00B96C60"/>
    <w:rsid w:val="00BA068E"/>
    <w:rsid w:val="00BA2619"/>
    <w:rsid w:val="00BA272D"/>
    <w:rsid w:val="00BA30D4"/>
    <w:rsid w:val="00BB13A2"/>
    <w:rsid w:val="00BB38B4"/>
    <w:rsid w:val="00BB3E6A"/>
    <w:rsid w:val="00BB4D98"/>
    <w:rsid w:val="00BB4E8E"/>
    <w:rsid w:val="00BB5181"/>
    <w:rsid w:val="00BB6849"/>
    <w:rsid w:val="00BB6F6B"/>
    <w:rsid w:val="00BB7ECD"/>
    <w:rsid w:val="00BC290D"/>
    <w:rsid w:val="00BD02A4"/>
    <w:rsid w:val="00BD23C6"/>
    <w:rsid w:val="00BD23EE"/>
    <w:rsid w:val="00BD4174"/>
    <w:rsid w:val="00BE0FC0"/>
    <w:rsid w:val="00BE53F0"/>
    <w:rsid w:val="00BE74C0"/>
    <w:rsid w:val="00BE7603"/>
    <w:rsid w:val="00BF60B0"/>
    <w:rsid w:val="00C01999"/>
    <w:rsid w:val="00C01C8C"/>
    <w:rsid w:val="00C05F08"/>
    <w:rsid w:val="00C064C2"/>
    <w:rsid w:val="00C11479"/>
    <w:rsid w:val="00C12038"/>
    <w:rsid w:val="00C17949"/>
    <w:rsid w:val="00C20638"/>
    <w:rsid w:val="00C235DC"/>
    <w:rsid w:val="00C2442E"/>
    <w:rsid w:val="00C27D3F"/>
    <w:rsid w:val="00C34822"/>
    <w:rsid w:val="00C36500"/>
    <w:rsid w:val="00C42C10"/>
    <w:rsid w:val="00C44E55"/>
    <w:rsid w:val="00C50FBF"/>
    <w:rsid w:val="00C53260"/>
    <w:rsid w:val="00C53364"/>
    <w:rsid w:val="00C545C1"/>
    <w:rsid w:val="00C576E8"/>
    <w:rsid w:val="00C76146"/>
    <w:rsid w:val="00C7649D"/>
    <w:rsid w:val="00C9034F"/>
    <w:rsid w:val="00C962C8"/>
    <w:rsid w:val="00C9700A"/>
    <w:rsid w:val="00CA090F"/>
    <w:rsid w:val="00CA324B"/>
    <w:rsid w:val="00CA7876"/>
    <w:rsid w:val="00CB25FF"/>
    <w:rsid w:val="00CB6E4C"/>
    <w:rsid w:val="00CB7ED3"/>
    <w:rsid w:val="00CC1851"/>
    <w:rsid w:val="00CC1FC0"/>
    <w:rsid w:val="00CD2941"/>
    <w:rsid w:val="00CD6260"/>
    <w:rsid w:val="00CE185D"/>
    <w:rsid w:val="00CE73C3"/>
    <w:rsid w:val="00D01C12"/>
    <w:rsid w:val="00D03683"/>
    <w:rsid w:val="00D0468B"/>
    <w:rsid w:val="00D04926"/>
    <w:rsid w:val="00D07684"/>
    <w:rsid w:val="00D1774D"/>
    <w:rsid w:val="00D178DE"/>
    <w:rsid w:val="00D240E0"/>
    <w:rsid w:val="00D26A07"/>
    <w:rsid w:val="00D30E5F"/>
    <w:rsid w:val="00D41425"/>
    <w:rsid w:val="00D429DF"/>
    <w:rsid w:val="00D42F2A"/>
    <w:rsid w:val="00D43F00"/>
    <w:rsid w:val="00D4448A"/>
    <w:rsid w:val="00D468C9"/>
    <w:rsid w:val="00D479D5"/>
    <w:rsid w:val="00D513F4"/>
    <w:rsid w:val="00D56F93"/>
    <w:rsid w:val="00D6331F"/>
    <w:rsid w:val="00D71906"/>
    <w:rsid w:val="00D72D30"/>
    <w:rsid w:val="00D77211"/>
    <w:rsid w:val="00D80DDD"/>
    <w:rsid w:val="00D844E4"/>
    <w:rsid w:val="00D86816"/>
    <w:rsid w:val="00DA420A"/>
    <w:rsid w:val="00DC2B41"/>
    <w:rsid w:val="00DC2C55"/>
    <w:rsid w:val="00DC5F94"/>
    <w:rsid w:val="00DD5040"/>
    <w:rsid w:val="00DE2FB7"/>
    <w:rsid w:val="00DE9675"/>
    <w:rsid w:val="00DF3C15"/>
    <w:rsid w:val="00DF69CA"/>
    <w:rsid w:val="00E024F5"/>
    <w:rsid w:val="00E139C4"/>
    <w:rsid w:val="00E144D8"/>
    <w:rsid w:val="00E17F72"/>
    <w:rsid w:val="00E22877"/>
    <w:rsid w:val="00E22907"/>
    <w:rsid w:val="00E25A48"/>
    <w:rsid w:val="00E317B2"/>
    <w:rsid w:val="00E335DE"/>
    <w:rsid w:val="00E37D6E"/>
    <w:rsid w:val="00E4546E"/>
    <w:rsid w:val="00E45FE3"/>
    <w:rsid w:val="00E50373"/>
    <w:rsid w:val="00E526BC"/>
    <w:rsid w:val="00E54D73"/>
    <w:rsid w:val="00E64B02"/>
    <w:rsid w:val="00E6637D"/>
    <w:rsid w:val="00E70E5F"/>
    <w:rsid w:val="00E7508E"/>
    <w:rsid w:val="00E752A1"/>
    <w:rsid w:val="00E8237A"/>
    <w:rsid w:val="00E82D14"/>
    <w:rsid w:val="00E83AC6"/>
    <w:rsid w:val="00E93036"/>
    <w:rsid w:val="00E93DB8"/>
    <w:rsid w:val="00EA2D83"/>
    <w:rsid w:val="00EA6350"/>
    <w:rsid w:val="00EB41F6"/>
    <w:rsid w:val="00EB4904"/>
    <w:rsid w:val="00EC77C7"/>
    <w:rsid w:val="00ED119A"/>
    <w:rsid w:val="00ED18E6"/>
    <w:rsid w:val="00ED73BE"/>
    <w:rsid w:val="00EE0423"/>
    <w:rsid w:val="00EE1A20"/>
    <w:rsid w:val="00EE1FE7"/>
    <w:rsid w:val="00EE2E03"/>
    <w:rsid w:val="00EF3F8A"/>
    <w:rsid w:val="00EF6276"/>
    <w:rsid w:val="00F00EA6"/>
    <w:rsid w:val="00F10288"/>
    <w:rsid w:val="00F149E9"/>
    <w:rsid w:val="00F1572A"/>
    <w:rsid w:val="00F161B0"/>
    <w:rsid w:val="00F17C4C"/>
    <w:rsid w:val="00F22EA3"/>
    <w:rsid w:val="00F24E69"/>
    <w:rsid w:val="00F3255E"/>
    <w:rsid w:val="00F346AE"/>
    <w:rsid w:val="00F3661C"/>
    <w:rsid w:val="00F37FE1"/>
    <w:rsid w:val="00F405DF"/>
    <w:rsid w:val="00F425D4"/>
    <w:rsid w:val="00F4765A"/>
    <w:rsid w:val="00F4782F"/>
    <w:rsid w:val="00F502DB"/>
    <w:rsid w:val="00F50490"/>
    <w:rsid w:val="00F52C3C"/>
    <w:rsid w:val="00F5684E"/>
    <w:rsid w:val="00F610DD"/>
    <w:rsid w:val="00F6140D"/>
    <w:rsid w:val="00F63F03"/>
    <w:rsid w:val="00F711F6"/>
    <w:rsid w:val="00F7174F"/>
    <w:rsid w:val="00F72BE8"/>
    <w:rsid w:val="00F777A8"/>
    <w:rsid w:val="00F8261D"/>
    <w:rsid w:val="00F82790"/>
    <w:rsid w:val="00F83A16"/>
    <w:rsid w:val="00F85FE2"/>
    <w:rsid w:val="00F87AB9"/>
    <w:rsid w:val="00F912A7"/>
    <w:rsid w:val="00F94886"/>
    <w:rsid w:val="00F96104"/>
    <w:rsid w:val="00FA056E"/>
    <w:rsid w:val="00FA301D"/>
    <w:rsid w:val="00FA64F5"/>
    <w:rsid w:val="00FA6673"/>
    <w:rsid w:val="00FB6A2D"/>
    <w:rsid w:val="00FC3E84"/>
    <w:rsid w:val="00FC5DDF"/>
    <w:rsid w:val="00FD24B6"/>
    <w:rsid w:val="00FD325B"/>
    <w:rsid w:val="00FF0178"/>
    <w:rsid w:val="00FF0C61"/>
    <w:rsid w:val="00FF22C2"/>
    <w:rsid w:val="0114CDFB"/>
    <w:rsid w:val="012D9963"/>
    <w:rsid w:val="0161C78C"/>
    <w:rsid w:val="01FCBE4C"/>
    <w:rsid w:val="0236F990"/>
    <w:rsid w:val="028300F2"/>
    <w:rsid w:val="038095A0"/>
    <w:rsid w:val="03EE217F"/>
    <w:rsid w:val="047D6B38"/>
    <w:rsid w:val="048E3484"/>
    <w:rsid w:val="04F78EB1"/>
    <w:rsid w:val="05432F60"/>
    <w:rsid w:val="0572FD63"/>
    <w:rsid w:val="05C10ED6"/>
    <w:rsid w:val="05D1656F"/>
    <w:rsid w:val="06B96CEC"/>
    <w:rsid w:val="06F9D00D"/>
    <w:rsid w:val="077E9519"/>
    <w:rsid w:val="0893F3ED"/>
    <w:rsid w:val="0909C12D"/>
    <w:rsid w:val="096D9B34"/>
    <w:rsid w:val="0A3CFEF2"/>
    <w:rsid w:val="0B76039E"/>
    <w:rsid w:val="0B9E9B25"/>
    <w:rsid w:val="0BB1E72F"/>
    <w:rsid w:val="0BE82E3B"/>
    <w:rsid w:val="0C27477D"/>
    <w:rsid w:val="0C661F64"/>
    <w:rsid w:val="0C7FA8C1"/>
    <w:rsid w:val="0CAC67CC"/>
    <w:rsid w:val="0CBE6AD8"/>
    <w:rsid w:val="0D66499A"/>
    <w:rsid w:val="0ED8D713"/>
    <w:rsid w:val="0EF6FF27"/>
    <w:rsid w:val="0F894D2C"/>
    <w:rsid w:val="0F8F8F53"/>
    <w:rsid w:val="0FA01325"/>
    <w:rsid w:val="10318DB3"/>
    <w:rsid w:val="11598724"/>
    <w:rsid w:val="11FE81C5"/>
    <w:rsid w:val="126E1C0A"/>
    <w:rsid w:val="12A7558D"/>
    <w:rsid w:val="12C0F178"/>
    <w:rsid w:val="1337A9E8"/>
    <w:rsid w:val="140E5372"/>
    <w:rsid w:val="14640CBF"/>
    <w:rsid w:val="14857829"/>
    <w:rsid w:val="14928655"/>
    <w:rsid w:val="149FA882"/>
    <w:rsid w:val="1519C722"/>
    <w:rsid w:val="1536B084"/>
    <w:rsid w:val="155F1809"/>
    <w:rsid w:val="15D93ED1"/>
    <w:rsid w:val="162C1EE1"/>
    <w:rsid w:val="17964FEF"/>
    <w:rsid w:val="17FEE3FA"/>
    <w:rsid w:val="18B6F151"/>
    <w:rsid w:val="18DCE974"/>
    <w:rsid w:val="18F4B6D1"/>
    <w:rsid w:val="1907D400"/>
    <w:rsid w:val="19677844"/>
    <w:rsid w:val="198B44E4"/>
    <w:rsid w:val="198E40D0"/>
    <w:rsid w:val="199A2AC3"/>
    <w:rsid w:val="19BB4621"/>
    <w:rsid w:val="19DADE95"/>
    <w:rsid w:val="1A77D6B5"/>
    <w:rsid w:val="1B125D5A"/>
    <w:rsid w:val="1B1758CB"/>
    <w:rsid w:val="1B2A0FD2"/>
    <w:rsid w:val="1B767CE6"/>
    <w:rsid w:val="1BADDC4E"/>
    <w:rsid w:val="1BEF2447"/>
    <w:rsid w:val="1C1FB6AE"/>
    <w:rsid w:val="1C2F64CE"/>
    <w:rsid w:val="1C95E1BE"/>
    <w:rsid w:val="1CA97A55"/>
    <w:rsid w:val="1D7D4532"/>
    <w:rsid w:val="1E711E24"/>
    <w:rsid w:val="1E848993"/>
    <w:rsid w:val="1EF1D9BD"/>
    <w:rsid w:val="1F2F9EB4"/>
    <w:rsid w:val="1F4C67E7"/>
    <w:rsid w:val="1F75A946"/>
    <w:rsid w:val="2047ED24"/>
    <w:rsid w:val="205FE891"/>
    <w:rsid w:val="20A3B8AC"/>
    <w:rsid w:val="20AA84F0"/>
    <w:rsid w:val="20D8BED0"/>
    <w:rsid w:val="21477295"/>
    <w:rsid w:val="2157A404"/>
    <w:rsid w:val="219A9FCF"/>
    <w:rsid w:val="21AEAB42"/>
    <w:rsid w:val="21BE8B80"/>
    <w:rsid w:val="21DD433C"/>
    <w:rsid w:val="2273F377"/>
    <w:rsid w:val="22AF610B"/>
    <w:rsid w:val="24F05AC9"/>
    <w:rsid w:val="24F1CA23"/>
    <w:rsid w:val="253F4965"/>
    <w:rsid w:val="25976854"/>
    <w:rsid w:val="25D3F617"/>
    <w:rsid w:val="26107FE8"/>
    <w:rsid w:val="2677D968"/>
    <w:rsid w:val="26A00661"/>
    <w:rsid w:val="26BA531D"/>
    <w:rsid w:val="26BBDB35"/>
    <w:rsid w:val="271C6E61"/>
    <w:rsid w:val="273695C3"/>
    <w:rsid w:val="27D6F3FB"/>
    <w:rsid w:val="27E43735"/>
    <w:rsid w:val="28256B1C"/>
    <w:rsid w:val="286993F1"/>
    <w:rsid w:val="286CD265"/>
    <w:rsid w:val="291C4847"/>
    <w:rsid w:val="295920FA"/>
    <w:rsid w:val="29F72BC7"/>
    <w:rsid w:val="2A35B482"/>
    <w:rsid w:val="2A36CDB3"/>
    <w:rsid w:val="2A45F630"/>
    <w:rsid w:val="2AE29004"/>
    <w:rsid w:val="2B631D10"/>
    <w:rsid w:val="2B8093F1"/>
    <w:rsid w:val="2CB0E8F0"/>
    <w:rsid w:val="2CDB2A4F"/>
    <w:rsid w:val="2CE9DC01"/>
    <w:rsid w:val="2CFB310F"/>
    <w:rsid w:val="2D0D41DA"/>
    <w:rsid w:val="2D2B27D8"/>
    <w:rsid w:val="2DC51F6B"/>
    <w:rsid w:val="2DF970C3"/>
    <w:rsid w:val="2E1D671C"/>
    <w:rsid w:val="2E76AB6E"/>
    <w:rsid w:val="2EA35972"/>
    <w:rsid w:val="2EB057B9"/>
    <w:rsid w:val="2ED65661"/>
    <w:rsid w:val="2EE10755"/>
    <w:rsid w:val="2F4AF0BF"/>
    <w:rsid w:val="2F56FC9B"/>
    <w:rsid w:val="2F9A681D"/>
    <w:rsid w:val="2FC20F64"/>
    <w:rsid w:val="2FC766C7"/>
    <w:rsid w:val="2FE593A1"/>
    <w:rsid w:val="2FE77A13"/>
    <w:rsid w:val="2FEF61B3"/>
    <w:rsid w:val="30294C2C"/>
    <w:rsid w:val="302DC3A9"/>
    <w:rsid w:val="303694D7"/>
    <w:rsid w:val="304D42FA"/>
    <w:rsid w:val="306F0C3B"/>
    <w:rsid w:val="306F2FC4"/>
    <w:rsid w:val="30F7EFD1"/>
    <w:rsid w:val="31465590"/>
    <w:rsid w:val="31C73C96"/>
    <w:rsid w:val="322463E7"/>
    <w:rsid w:val="32302FB9"/>
    <w:rsid w:val="327730D9"/>
    <w:rsid w:val="3281179E"/>
    <w:rsid w:val="33ADC34C"/>
    <w:rsid w:val="33B76AC9"/>
    <w:rsid w:val="33D69C9F"/>
    <w:rsid w:val="33FD3510"/>
    <w:rsid w:val="3462FC35"/>
    <w:rsid w:val="354F8736"/>
    <w:rsid w:val="356C2D02"/>
    <w:rsid w:val="3585E570"/>
    <w:rsid w:val="36001DF5"/>
    <w:rsid w:val="36B6DA7C"/>
    <w:rsid w:val="36B8D60A"/>
    <w:rsid w:val="37038E44"/>
    <w:rsid w:val="372358FF"/>
    <w:rsid w:val="372AE498"/>
    <w:rsid w:val="374E0DE7"/>
    <w:rsid w:val="37D31B8A"/>
    <w:rsid w:val="37D53F61"/>
    <w:rsid w:val="380FD7C1"/>
    <w:rsid w:val="38A74E7C"/>
    <w:rsid w:val="38B0E2DB"/>
    <w:rsid w:val="38CA4403"/>
    <w:rsid w:val="38FFA9E1"/>
    <w:rsid w:val="3909A797"/>
    <w:rsid w:val="39321108"/>
    <w:rsid w:val="39491655"/>
    <w:rsid w:val="397248D7"/>
    <w:rsid w:val="39725BE8"/>
    <w:rsid w:val="39773F49"/>
    <w:rsid w:val="3984557D"/>
    <w:rsid w:val="3A031850"/>
    <w:rsid w:val="3AC85EFC"/>
    <w:rsid w:val="3ADA4DB2"/>
    <w:rsid w:val="3B19CF2C"/>
    <w:rsid w:val="3B75E26D"/>
    <w:rsid w:val="3BA70812"/>
    <w:rsid w:val="3BF0A7D6"/>
    <w:rsid w:val="3BFAB9AB"/>
    <w:rsid w:val="3C08E262"/>
    <w:rsid w:val="3C4F943E"/>
    <w:rsid w:val="3C9D55F0"/>
    <w:rsid w:val="3CD0CE4A"/>
    <w:rsid w:val="3CEAF216"/>
    <w:rsid w:val="3D25DD2D"/>
    <w:rsid w:val="3D3D1D6B"/>
    <w:rsid w:val="3DAFAAD8"/>
    <w:rsid w:val="3E180049"/>
    <w:rsid w:val="3E2A504F"/>
    <w:rsid w:val="3E401F42"/>
    <w:rsid w:val="3EDA05BA"/>
    <w:rsid w:val="3F030824"/>
    <w:rsid w:val="3F06C680"/>
    <w:rsid w:val="3F1E00BC"/>
    <w:rsid w:val="3F9B8DCA"/>
    <w:rsid w:val="4025BF0C"/>
    <w:rsid w:val="40B7B56F"/>
    <w:rsid w:val="40E87FCC"/>
    <w:rsid w:val="41040BA8"/>
    <w:rsid w:val="4130A29D"/>
    <w:rsid w:val="417A6C5C"/>
    <w:rsid w:val="418300E9"/>
    <w:rsid w:val="41A4B371"/>
    <w:rsid w:val="4300C87C"/>
    <w:rsid w:val="43117EA2"/>
    <w:rsid w:val="436FAE40"/>
    <w:rsid w:val="439543CF"/>
    <w:rsid w:val="43A5E7FF"/>
    <w:rsid w:val="43E2C395"/>
    <w:rsid w:val="448E679D"/>
    <w:rsid w:val="44D8676F"/>
    <w:rsid w:val="44E53E0D"/>
    <w:rsid w:val="45E113BA"/>
    <w:rsid w:val="461B3B4D"/>
    <w:rsid w:val="46EEAD77"/>
    <w:rsid w:val="472EDEE6"/>
    <w:rsid w:val="4809ADD9"/>
    <w:rsid w:val="486401E1"/>
    <w:rsid w:val="4873E3C5"/>
    <w:rsid w:val="4898A8BA"/>
    <w:rsid w:val="494CC658"/>
    <w:rsid w:val="498B33BE"/>
    <w:rsid w:val="49C011C4"/>
    <w:rsid w:val="4CB3F104"/>
    <w:rsid w:val="4CDDDF3D"/>
    <w:rsid w:val="4CE0850C"/>
    <w:rsid w:val="4D2B41A5"/>
    <w:rsid w:val="4D695FCA"/>
    <w:rsid w:val="4DBCFBA6"/>
    <w:rsid w:val="4DBFAA34"/>
    <w:rsid w:val="4DDBE89C"/>
    <w:rsid w:val="4EEAE36E"/>
    <w:rsid w:val="4F277025"/>
    <w:rsid w:val="4F6CA431"/>
    <w:rsid w:val="4F81505D"/>
    <w:rsid w:val="4F8B188B"/>
    <w:rsid w:val="5039FE0B"/>
    <w:rsid w:val="5051CD03"/>
    <w:rsid w:val="5083082E"/>
    <w:rsid w:val="50CC5DE6"/>
    <w:rsid w:val="5106881C"/>
    <w:rsid w:val="512ACD10"/>
    <w:rsid w:val="512CE745"/>
    <w:rsid w:val="5176D604"/>
    <w:rsid w:val="51C554AF"/>
    <w:rsid w:val="51C6F91B"/>
    <w:rsid w:val="52279918"/>
    <w:rsid w:val="53213280"/>
    <w:rsid w:val="53DB5B75"/>
    <w:rsid w:val="53EF35B7"/>
    <w:rsid w:val="54708DB4"/>
    <w:rsid w:val="54859FD5"/>
    <w:rsid w:val="54F3BFB8"/>
    <w:rsid w:val="5520BC59"/>
    <w:rsid w:val="55B4ED34"/>
    <w:rsid w:val="55FA6A43"/>
    <w:rsid w:val="56ADAD99"/>
    <w:rsid w:val="56ECDE58"/>
    <w:rsid w:val="57EF117D"/>
    <w:rsid w:val="58182907"/>
    <w:rsid w:val="586CE6B1"/>
    <w:rsid w:val="58BFEE53"/>
    <w:rsid w:val="5918FF3B"/>
    <w:rsid w:val="593B9E3B"/>
    <w:rsid w:val="59D586E7"/>
    <w:rsid w:val="59E2F29A"/>
    <w:rsid w:val="59F0DBE4"/>
    <w:rsid w:val="5A607F5A"/>
    <w:rsid w:val="5BBA429F"/>
    <w:rsid w:val="5BCBF69D"/>
    <w:rsid w:val="5C32D164"/>
    <w:rsid w:val="5D03B8CE"/>
    <w:rsid w:val="5DDDEC32"/>
    <w:rsid w:val="5DF50529"/>
    <w:rsid w:val="5E13581F"/>
    <w:rsid w:val="5E84E050"/>
    <w:rsid w:val="5EE610BF"/>
    <w:rsid w:val="5F2A3DB6"/>
    <w:rsid w:val="5F86C82D"/>
    <w:rsid w:val="5FD73702"/>
    <w:rsid w:val="5FFE8561"/>
    <w:rsid w:val="609470FF"/>
    <w:rsid w:val="60B4D58B"/>
    <w:rsid w:val="60CCAD7E"/>
    <w:rsid w:val="60DA1AFC"/>
    <w:rsid w:val="60E03243"/>
    <w:rsid w:val="6174912A"/>
    <w:rsid w:val="61DB0196"/>
    <w:rsid w:val="62607775"/>
    <w:rsid w:val="626F43A6"/>
    <w:rsid w:val="62A41430"/>
    <w:rsid w:val="62B98A6F"/>
    <w:rsid w:val="62CC76F6"/>
    <w:rsid w:val="6300CC49"/>
    <w:rsid w:val="6328F6D4"/>
    <w:rsid w:val="63530CA2"/>
    <w:rsid w:val="63A2663A"/>
    <w:rsid w:val="63EFE4CD"/>
    <w:rsid w:val="63FEF256"/>
    <w:rsid w:val="6444106C"/>
    <w:rsid w:val="64782BDF"/>
    <w:rsid w:val="653AA11F"/>
    <w:rsid w:val="65750579"/>
    <w:rsid w:val="65BAA1C9"/>
    <w:rsid w:val="664A6EA5"/>
    <w:rsid w:val="66BB9CB4"/>
    <w:rsid w:val="670FE173"/>
    <w:rsid w:val="671EC52C"/>
    <w:rsid w:val="680B0A01"/>
    <w:rsid w:val="6886FFE3"/>
    <w:rsid w:val="692F9C10"/>
    <w:rsid w:val="6933DA73"/>
    <w:rsid w:val="6BCC0504"/>
    <w:rsid w:val="6BF0D419"/>
    <w:rsid w:val="6C0FD87A"/>
    <w:rsid w:val="6C1EF6AD"/>
    <w:rsid w:val="6C365055"/>
    <w:rsid w:val="6D4400C2"/>
    <w:rsid w:val="6D96514E"/>
    <w:rsid w:val="6DDEE3F5"/>
    <w:rsid w:val="6E2A64F2"/>
    <w:rsid w:val="6E330854"/>
    <w:rsid w:val="6E45CC91"/>
    <w:rsid w:val="6EE0C8AC"/>
    <w:rsid w:val="6EFCA113"/>
    <w:rsid w:val="6F052F1E"/>
    <w:rsid w:val="6F61EAA6"/>
    <w:rsid w:val="6F7E4D62"/>
    <w:rsid w:val="7043C3C1"/>
    <w:rsid w:val="704BFE77"/>
    <w:rsid w:val="717F77DB"/>
    <w:rsid w:val="7197CCAE"/>
    <w:rsid w:val="71DBCB04"/>
    <w:rsid w:val="71EDC101"/>
    <w:rsid w:val="71FCDB9E"/>
    <w:rsid w:val="72096B11"/>
    <w:rsid w:val="72595EAE"/>
    <w:rsid w:val="7289147E"/>
    <w:rsid w:val="72BEC21C"/>
    <w:rsid w:val="72EA3EFA"/>
    <w:rsid w:val="7328D5D5"/>
    <w:rsid w:val="733C8255"/>
    <w:rsid w:val="737F641F"/>
    <w:rsid w:val="73E963FF"/>
    <w:rsid w:val="74DBE02C"/>
    <w:rsid w:val="75263CF0"/>
    <w:rsid w:val="755354DC"/>
    <w:rsid w:val="7559684B"/>
    <w:rsid w:val="7591461A"/>
    <w:rsid w:val="763EF09C"/>
    <w:rsid w:val="7640460C"/>
    <w:rsid w:val="7692EDE2"/>
    <w:rsid w:val="76B9174C"/>
    <w:rsid w:val="76C46898"/>
    <w:rsid w:val="76E89EEF"/>
    <w:rsid w:val="7785D475"/>
    <w:rsid w:val="781BFC00"/>
    <w:rsid w:val="78365E3D"/>
    <w:rsid w:val="783775A3"/>
    <w:rsid w:val="7853A702"/>
    <w:rsid w:val="78F5ABB6"/>
    <w:rsid w:val="793E3DDB"/>
    <w:rsid w:val="7ABDC2E5"/>
    <w:rsid w:val="7B1137E9"/>
    <w:rsid w:val="7BA2D853"/>
    <w:rsid w:val="7BC42B39"/>
    <w:rsid w:val="7BD191CE"/>
    <w:rsid w:val="7BD91EF7"/>
    <w:rsid w:val="7C0B24F2"/>
    <w:rsid w:val="7C4C80CE"/>
    <w:rsid w:val="7C6BD3FE"/>
    <w:rsid w:val="7CAD3DE2"/>
    <w:rsid w:val="7CFCD777"/>
    <w:rsid w:val="7D757FC8"/>
    <w:rsid w:val="7DE5A9B3"/>
    <w:rsid w:val="7DEA7F32"/>
    <w:rsid w:val="7E1332FB"/>
    <w:rsid w:val="7ED34719"/>
    <w:rsid w:val="7F152B41"/>
    <w:rsid w:val="7F334702"/>
    <w:rsid w:val="7F426FE5"/>
    <w:rsid w:val="7FF9EA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4299C"/>
  <w15:docId w15:val="{F109C40A-DEC3-4121-B174-63244A077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1"/>
        <w:szCs w:val="21"/>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heading10">
    <w:name w:val="heading 10"/>
    <w:qFormat/>
    <w:pPr>
      <w:keepNext/>
      <w:spacing w:before="280" w:after="140"/>
      <w:outlineLvl w:val="0"/>
    </w:pPr>
    <w:rPr>
      <w:b/>
      <w:bCs/>
      <w:color w:val="1F4E79"/>
      <w:sz w:val="26"/>
      <w:szCs w:val="26"/>
    </w:rPr>
  </w:style>
  <w:style w:type="paragraph" w:customStyle="1" w:styleId="heading20">
    <w:name w:val="heading 20"/>
    <w:qFormat/>
    <w:pPr>
      <w:keepNext/>
      <w:spacing w:before="160" w:after="100"/>
      <w:outlineLvl w:val="1"/>
    </w:pPr>
    <w:rPr>
      <w:b/>
      <w:bCs/>
      <w:color w:val="2E5E8C"/>
      <w:sz w:val="22"/>
      <w:szCs w:val="22"/>
    </w:rPr>
  </w:style>
  <w:style w:type="paragraph" w:styleId="Footer">
    <w:name w:val="footer"/>
    <w:basedOn w:val="Normal"/>
    <w:link w:val="FooterChar"/>
    <w:uiPriority w:val="99"/>
    <w:unhideWhenUsed/>
    <w:rsid w:val="00E22877"/>
    <w:pPr>
      <w:tabs>
        <w:tab w:val="center" w:pos="4680"/>
        <w:tab w:val="right" w:pos="9360"/>
      </w:tabs>
    </w:pPr>
  </w:style>
  <w:style w:type="character" w:customStyle="1" w:styleId="FooterChar">
    <w:name w:val="Footer Char"/>
    <w:basedOn w:val="DefaultParagraphFont"/>
    <w:link w:val="Footer"/>
    <w:uiPriority w:val="99"/>
    <w:rsid w:val="00E22877"/>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1F3151"/>
    <w:pPr>
      <w:tabs>
        <w:tab w:val="center" w:pos="4680"/>
        <w:tab w:val="right" w:pos="9360"/>
      </w:tabs>
    </w:pPr>
  </w:style>
  <w:style w:type="character" w:customStyle="1" w:styleId="HeaderChar">
    <w:name w:val="Header Char"/>
    <w:basedOn w:val="DefaultParagraphFont"/>
    <w:link w:val="Header"/>
    <w:uiPriority w:val="99"/>
    <w:semiHidden/>
    <w:rsid w:val="001F3151"/>
  </w:style>
  <w:style w:type="paragraph" w:styleId="CommentSubject">
    <w:name w:val="annotation subject"/>
    <w:basedOn w:val="CommentText"/>
    <w:next w:val="CommentText"/>
    <w:link w:val="CommentSubjectChar"/>
    <w:uiPriority w:val="99"/>
    <w:semiHidden/>
    <w:unhideWhenUsed/>
    <w:rsid w:val="00D6331F"/>
    <w:rPr>
      <w:b/>
      <w:bCs/>
    </w:rPr>
  </w:style>
  <w:style w:type="character" w:customStyle="1" w:styleId="CommentSubjectChar">
    <w:name w:val="Comment Subject Char"/>
    <w:basedOn w:val="CommentTextChar"/>
    <w:link w:val="CommentSubject"/>
    <w:uiPriority w:val="99"/>
    <w:semiHidden/>
    <w:rsid w:val="00D6331F"/>
    <w:rPr>
      <w:b/>
      <w:bCs/>
      <w:sz w:val="20"/>
      <w:szCs w:val="20"/>
    </w:rPr>
  </w:style>
  <w:style w:type="character" w:customStyle="1" w:styleId="Mention">
    <w:name w:val="Mention"/>
    <w:basedOn w:val="DefaultParagraphFont"/>
    <w:uiPriority w:val="99"/>
    <w:unhideWhenUsed/>
    <w:rsid w:val="003E2BF0"/>
    <w:rPr>
      <w:color w:val="2B579A"/>
      <w:shd w:val="clear" w:color="auto" w:fill="E1DFDD"/>
    </w:rPr>
  </w:style>
  <w:style w:type="paragraph" w:styleId="Revision">
    <w:name w:val="Revision"/>
    <w:hidden/>
    <w:uiPriority w:val="99"/>
    <w:semiHidden/>
    <w:rsid w:val="00782EFB"/>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2BCE7-13FF-469F-85B2-BD9F96480D7D}">
  <ds:schemaRefs>
    <ds:schemaRef ds:uri="http://schemas.openxmlformats.org/officeDocument/2006/bibliography"/>
  </ds:schemaRefs>
</ds:datastoreItem>
</file>

<file path=docMetadata/LabelInfo.xml><?xml version="1.0" encoding="utf-8"?>
<clbl:labelList xmlns:clbl="http://schemas.microsoft.com/office/2020/mipLabelMetadata">
  <clbl:label id="{31a2fec0-266b-4c67-b56e-2796d8f59c36}" enabled="0" method="" siteId="{31a2fec0-266b-4c67-b56e-2796d8f59c36}"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4107</Words>
  <Characters>23410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27463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Ameda Harris</cp:lastModifiedBy>
  <cp:revision>2</cp:revision>
  <dcterms:created xsi:type="dcterms:W3CDTF">2026-07-27T18:59:00Z</dcterms:created>
  <dcterms:modified xsi:type="dcterms:W3CDTF">2026-07-27T18:59:00Z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5594fbfa,3982e9b0,693635e5</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2026-06-12T18:18:37Z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57228763-ca8f-425e-ace8-daeb89bd97ae</vt:lpwstr>
  </property>
  <property fmtid="{D5CDD505-2E9C-101B-9397-08002B2CF9AE}" pid="11" name="MSIP_Label_f1bf45b6-5649-4236-82a3-f45024cd282e_ContentBits">
    <vt:lpwstr>0</vt:lpwstr>
  </property>
</Properties>
</file>