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DEDF9" w14:textId="77777777" w:rsidR="00F4591A" w:rsidRPr="00CB4047" w:rsidRDefault="00F4591A" w:rsidP="00F4591A">
      <w:pPr>
        <w:pStyle w:val="Heading1a"/>
        <w:keepNext w:val="0"/>
        <w:keepLines w:val="0"/>
        <w:tabs>
          <w:tab w:val="clear" w:pos="-720"/>
        </w:tabs>
        <w:suppressAutoHyphens w:val="0"/>
        <w:rPr>
          <w:bCs/>
          <w:smallCaps w:val="0"/>
          <w:sz w:val="24"/>
          <w:szCs w:val="24"/>
        </w:rPr>
      </w:pPr>
      <w:r w:rsidRPr="00CB4047">
        <w:rPr>
          <w:bCs/>
          <w:smallCaps w:val="0"/>
          <w:sz w:val="24"/>
          <w:szCs w:val="24"/>
        </w:rPr>
        <w:t>GENERAL PROCUREMENT NOTICE</w:t>
      </w:r>
    </w:p>
    <w:p w14:paraId="6C7F514E" w14:textId="77777777" w:rsidR="00F4591A" w:rsidRPr="00CB4047" w:rsidRDefault="00F4591A" w:rsidP="00F4591A">
      <w:pPr>
        <w:suppressAutoHyphens/>
        <w:rPr>
          <w:rFonts w:ascii="Times New Roman" w:hAnsi="Times New Roman"/>
          <w:spacing w:val="-2"/>
          <w:sz w:val="24"/>
          <w:szCs w:val="24"/>
        </w:rPr>
      </w:pPr>
    </w:p>
    <w:p w14:paraId="6B5F1418" w14:textId="77777777" w:rsidR="00F4591A" w:rsidRPr="00CB4047" w:rsidRDefault="00F4591A" w:rsidP="00F4591A">
      <w:pPr>
        <w:pStyle w:val="ChapterNumber"/>
        <w:tabs>
          <w:tab w:val="clear" w:pos="-720"/>
        </w:tabs>
        <w:rPr>
          <w:rFonts w:ascii="Times New Roman" w:hAnsi="Times New Roman"/>
          <w:spacing w:val="-2"/>
          <w:sz w:val="24"/>
          <w:szCs w:val="24"/>
        </w:rPr>
      </w:pPr>
    </w:p>
    <w:p w14:paraId="3992D92D" w14:textId="301CFBD7" w:rsidR="00F4591A" w:rsidRPr="00CB4047" w:rsidRDefault="00F4591A" w:rsidP="00F4591A">
      <w:pPr>
        <w:suppressAutoHyphens/>
        <w:rPr>
          <w:rFonts w:ascii="Times New Roman" w:hAnsi="Times New Roman"/>
          <w:spacing w:val="-2"/>
          <w:sz w:val="24"/>
          <w:szCs w:val="24"/>
        </w:rPr>
      </w:pPr>
      <w:r w:rsidRPr="00CB4047">
        <w:rPr>
          <w:rFonts w:ascii="Times New Roman" w:hAnsi="Times New Roman"/>
          <w:spacing w:val="-2"/>
          <w:sz w:val="24"/>
          <w:szCs w:val="24"/>
        </w:rPr>
        <w:t>Grenada</w:t>
      </w:r>
    </w:p>
    <w:p w14:paraId="51A261F2" w14:textId="054D2CEE" w:rsidR="00F4591A" w:rsidRPr="00CB4047" w:rsidRDefault="00F4591A" w:rsidP="00F4591A">
      <w:pPr>
        <w:suppressAutoHyphens/>
        <w:rPr>
          <w:rFonts w:ascii="Times New Roman" w:hAnsi="Times New Roman"/>
          <w:spacing w:val="-2"/>
          <w:sz w:val="24"/>
          <w:szCs w:val="24"/>
        </w:rPr>
      </w:pPr>
      <w:r w:rsidRPr="00CB4047">
        <w:rPr>
          <w:rFonts w:ascii="Times New Roman" w:hAnsi="Times New Roman"/>
          <w:spacing w:val="-2"/>
          <w:sz w:val="24"/>
          <w:szCs w:val="24"/>
        </w:rPr>
        <w:t>Caribbean Resilience Renewable Energy Infrastructure Investment Facility</w:t>
      </w:r>
    </w:p>
    <w:p w14:paraId="5D946F82" w14:textId="6529F430" w:rsidR="00F4591A" w:rsidRPr="00CB4047" w:rsidRDefault="00F4591A" w:rsidP="00F4591A">
      <w:pPr>
        <w:suppressAutoHyphens/>
        <w:rPr>
          <w:rFonts w:ascii="Times New Roman" w:hAnsi="Times New Roman"/>
          <w:spacing w:val="-2"/>
          <w:sz w:val="24"/>
          <w:szCs w:val="24"/>
        </w:rPr>
      </w:pPr>
      <w:r w:rsidRPr="00CB4047">
        <w:rPr>
          <w:rFonts w:ascii="Times New Roman" w:hAnsi="Times New Roman"/>
          <w:spacing w:val="-2"/>
          <w:sz w:val="24"/>
          <w:szCs w:val="24"/>
        </w:rPr>
        <w:t xml:space="preserve">Energy Sector </w:t>
      </w:r>
    </w:p>
    <w:p w14:paraId="2286ABF7" w14:textId="77777777" w:rsidR="00F4591A" w:rsidRPr="00CB4047" w:rsidRDefault="00F4591A" w:rsidP="00F4591A">
      <w:pPr>
        <w:suppressAutoHyphens/>
        <w:rPr>
          <w:rFonts w:ascii="Times New Roman" w:hAnsi="Times New Roman"/>
          <w:spacing w:val="-2"/>
          <w:sz w:val="24"/>
          <w:szCs w:val="24"/>
        </w:rPr>
      </w:pPr>
      <w:r w:rsidRPr="00CB4047">
        <w:rPr>
          <w:rFonts w:ascii="Times New Roman" w:hAnsi="Times New Roman"/>
          <w:spacing w:val="-2"/>
          <w:sz w:val="24"/>
          <w:szCs w:val="24"/>
        </w:rPr>
        <w:t>GENERAL PROCUREMENT NOTICE</w:t>
      </w:r>
    </w:p>
    <w:p w14:paraId="237FDF20" w14:textId="4FAB69F7" w:rsidR="00F4591A" w:rsidRPr="00CB4047" w:rsidRDefault="00F4591A" w:rsidP="00F4591A">
      <w:pPr>
        <w:pStyle w:val="BodyText"/>
        <w:rPr>
          <w:rFonts w:ascii="Times New Roman" w:hAnsi="Times New Roman"/>
          <w:szCs w:val="24"/>
        </w:rPr>
      </w:pPr>
      <w:r w:rsidRPr="00CB4047">
        <w:rPr>
          <w:rFonts w:ascii="Times New Roman" w:hAnsi="Times New Roman"/>
          <w:szCs w:val="24"/>
        </w:rPr>
        <w:t>Credit No.:7751</w:t>
      </w:r>
    </w:p>
    <w:p w14:paraId="7B9F9188" w14:textId="78F70A37" w:rsidR="00F4591A" w:rsidRPr="00CB4047" w:rsidRDefault="00F4591A" w:rsidP="00F4591A">
      <w:pPr>
        <w:pStyle w:val="BodyText"/>
        <w:rPr>
          <w:rFonts w:ascii="Times New Roman" w:hAnsi="Times New Roman"/>
          <w:szCs w:val="24"/>
        </w:rPr>
      </w:pPr>
      <w:r w:rsidRPr="00CB4047">
        <w:rPr>
          <w:rFonts w:ascii="Times New Roman" w:hAnsi="Times New Roman"/>
          <w:szCs w:val="24"/>
        </w:rPr>
        <w:t>Project ID No. P180831</w:t>
      </w:r>
    </w:p>
    <w:p w14:paraId="339F167A" w14:textId="77777777" w:rsidR="00F4591A" w:rsidRPr="00CB4047" w:rsidRDefault="00F4591A" w:rsidP="00F4591A">
      <w:pPr>
        <w:suppressAutoHyphens/>
        <w:rPr>
          <w:rFonts w:ascii="Times New Roman" w:hAnsi="Times New Roman"/>
          <w:spacing w:val="-2"/>
          <w:sz w:val="24"/>
          <w:szCs w:val="24"/>
        </w:rPr>
      </w:pPr>
    </w:p>
    <w:p w14:paraId="792E1AC3" w14:textId="77777777" w:rsidR="00F4591A" w:rsidRPr="00CB4047" w:rsidRDefault="00F4591A" w:rsidP="00F4591A">
      <w:pPr>
        <w:suppressAutoHyphens/>
        <w:rPr>
          <w:rFonts w:ascii="Times New Roman" w:hAnsi="Times New Roman"/>
          <w:spacing w:val="-2"/>
          <w:sz w:val="24"/>
          <w:szCs w:val="24"/>
        </w:rPr>
      </w:pPr>
    </w:p>
    <w:p w14:paraId="50934A16" w14:textId="13DDF734" w:rsidR="00F4591A" w:rsidRPr="00CB4047" w:rsidRDefault="00F4591A" w:rsidP="00F4591A">
      <w:pPr>
        <w:suppressAutoHyphens/>
        <w:rPr>
          <w:rFonts w:ascii="Times New Roman" w:hAnsi="Times New Roman"/>
          <w:sz w:val="24"/>
          <w:szCs w:val="24"/>
        </w:rPr>
      </w:pPr>
      <w:r w:rsidRPr="00CB4047">
        <w:rPr>
          <w:rFonts w:ascii="Times New Roman" w:hAnsi="Times New Roman"/>
          <w:spacing w:val="-2"/>
          <w:sz w:val="24"/>
          <w:szCs w:val="24"/>
        </w:rPr>
        <w:t xml:space="preserve">The Government of Grenada </w:t>
      </w:r>
      <w:r w:rsidRPr="00CB4047">
        <w:rPr>
          <w:rFonts w:ascii="Times New Roman" w:hAnsi="Times New Roman"/>
          <w:i/>
          <w:spacing w:val="-2"/>
          <w:sz w:val="24"/>
          <w:szCs w:val="24"/>
        </w:rPr>
        <w:t xml:space="preserve">has received </w:t>
      </w:r>
      <w:r w:rsidRPr="00CB4047">
        <w:rPr>
          <w:rFonts w:ascii="Times New Roman" w:hAnsi="Times New Roman"/>
          <w:iCs/>
          <w:spacing w:val="-2"/>
          <w:sz w:val="24"/>
          <w:szCs w:val="24"/>
        </w:rPr>
        <w:t xml:space="preserve">financing </w:t>
      </w:r>
      <w:r w:rsidRPr="00CB4047">
        <w:rPr>
          <w:rFonts w:ascii="Times New Roman" w:hAnsi="Times New Roman"/>
          <w:spacing w:val="-2"/>
          <w:sz w:val="24"/>
          <w:szCs w:val="24"/>
        </w:rPr>
        <w:t xml:space="preserve">in the amount of US$ </w:t>
      </w:r>
      <w:r w:rsidR="00CB4047" w:rsidRPr="00CB4047">
        <w:rPr>
          <w:rFonts w:ascii="Times New Roman" w:hAnsi="Times New Roman"/>
          <w:iCs/>
          <w:spacing w:val="-2"/>
          <w:sz w:val="24"/>
          <w:szCs w:val="24"/>
        </w:rPr>
        <w:t>Twenty-nine Million, One Hundred Thousand (US$29,100,000.00)</w:t>
      </w:r>
      <w:r w:rsidRPr="00CB4047">
        <w:rPr>
          <w:rFonts w:ascii="Times New Roman" w:hAnsi="Times New Roman"/>
          <w:spacing w:val="-2"/>
          <w:sz w:val="24"/>
          <w:szCs w:val="24"/>
        </w:rPr>
        <w:t xml:space="preserve"> equivalent from the World Bank toward the cost of the Caribbean Resilience Renewable Energy Infrastructure Investment Facility and it intends to apply part of the proceeds to payments for goods, works, non-consulting services and consulting services to be procured under this project. </w:t>
      </w:r>
    </w:p>
    <w:p w14:paraId="3634A072" w14:textId="77777777" w:rsidR="00CB4047" w:rsidRPr="00CB4047" w:rsidRDefault="00CB4047" w:rsidP="00F4591A">
      <w:pPr>
        <w:suppressAutoHyphens/>
        <w:rPr>
          <w:rFonts w:ascii="Times New Roman" w:hAnsi="Times New Roman"/>
          <w:spacing w:val="-2"/>
          <w:sz w:val="24"/>
          <w:szCs w:val="24"/>
        </w:rPr>
      </w:pPr>
    </w:p>
    <w:p w14:paraId="6ABA4C89" w14:textId="7E496129" w:rsidR="00CB4047" w:rsidRPr="00CB4047" w:rsidRDefault="00F4591A" w:rsidP="00F4591A">
      <w:pPr>
        <w:suppressAutoHyphens/>
        <w:rPr>
          <w:rFonts w:ascii="Times New Roman" w:hAnsi="Times New Roman"/>
          <w:spacing w:val="-2"/>
          <w:sz w:val="24"/>
          <w:szCs w:val="24"/>
        </w:rPr>
      </w:pPr>
      <w:r w:rsidRPr="00CB4047">
        <w:rPr>
          <w:rFonts w:ascii="Times New Roman" w:hAnsi="Times New Roman"/>
          <w:spacing w:val="-2"/>
          <w:sz w:val="24"/>
          <w:szCs w:val="24"/>
        </w:rPr>
        <w:t>The project will include the following components</w:t>
      </w:r>
      <w:r w:rsidR="00CB4047">
        <w:rPr>
          <w:rFonts w:ascii="Times New Roman" w:hAnsi="Times New Roman"/>
          <w:spacing w:val="-2"/>
          <w:sz w:val="24"/>
          <w:szCs w:val="24"/>
        </w:rPr>
        <w:t>:</w:t>
      </w:r>
    </w:p>
    <w:p w14:paraId="78E04F3E" w14:textId="77777777" w:rsidR="00CB4047" w:rsidRPr="00CB4047" w:rsidRDefault="00CB4047" w:rsidP="00F4591A">
      <w:pPr>
        <w:suppressAutoHyphens/>
        <w:rPr>
          <w:rFonts w:ascii="Times New Roman" w:hAnsi="Times New Roman"/>
          <w:spacing w:val="-2"/>
          <w:sz w:val="24"/>
          <w:szCs w:val="24"/>
        </w:rPr>
      </w:pPr>
    </w:p>
    <w:p w14:paraId="2F6921A2" w14:textId="77777777" w:rsidR="00CB4047" w:rsidRPr="00CB4047" w:rsidRDefault="00CB4047" w:rsidP="00CB4047">
      <w:pPr>
        <w:rPr>
          <w:rFonts w:ascii="Times New Roman" w:hAnsi="Times New Roman"/>
          <w:b/>
          <w:bCs/>
          <w:sz w:val="24"/>
          <w:szCs w:val="24"/>
        </w:rPr>
      </w:pPr>
      <w:r w:rsidRPr="00CB4047">
        <w:rPr>
          <w:rFonts w:ascii="Times New Roman" w:hAnsi="Times New Roman"/>
          <w:b/>
          <w:bCs/>
          <w:sz w:val="24"/>
          <w:szCs w:val="24"/>
        </w:rPr>
        <w:t>Component 1: Regional Coordination Unit (RCU), Institutional Strengthening, and Implementation Support</w:t>
      </w:r>
    </w:p>
    <w:p w14:paraId="6F3C0496" w14:textId="77777777" w:rsidR="00CB4047" w:rsidRPr="00CB4047" w:rsidRDefault="00CB4047" w:rsidP="00CB4047">
      <w:pPr>
        <w:rPr>
          <w:rFonts w:ascii="Times New Roman" w:hAnsi="Times New Roman"/>
          <w:sz w:val="24"/>
          <w:szCs w:val="24"/>
        </w:rPr>
      </w:pPr>
      <w:r w:rsidRPr="00CB4047">
        <w:rPr>
          <w:rFonts w:ascii="Times New Roman" w:hAnsi="Times New Roman"/>
          <w:sz w:val="24"/>
          <w:szCs w:val="24"/>
        </w:rPr>
        <w:t>This component will establish the regional coordination entity responsible for (</w:t>
      </w:r>
      <w:proofErr w:type="spellStart"/>
      <w:r w:rsidRPr="00CB4047">
        <w:rPr>
          <w:rFonts w:ascii="Times New Roman" w:hAnsi="Times New Roman"/>
          <w:sz w:val="24"/>
          <w:szCs w:val="24"/>
        </w:rPr>
        <w:t>i</w:t>
      </w:r>
      <w:proofErr w:type="spellEnd"/>
      <w:r w:rsidRPr="00CB4047">
        <w:rPr>
          <w:rFonts w:ascii="Times New Roman" w:hAnsi="Times New Roman"/>
          <w:sz w:val="24"/>
          <w:szCs w:val="24"/>
        </w:rPr>
        <w:t>) coordinating the aggregation of renewable energy projects to achieve economies of scale and reduce the cost of individual projects, and (ii) providing technical support to national entities of the three participating countries, as well as to the ECPCGC.</w:t>
      </w:r>
    </w:p>
    <w:p w14:paraId="30FCE4F1" w14:textId="77777777" w:rsidR="00CB4047" w:rsidRPr="00CB4047" w:rsidRDefault="00CB4047" w:rsidP="00F4591A">
      <w:pPr>
        <w:suppressAutoHyphens/>
        <w:rPr>
          <w:rFonts w:ascii="Times New Roman" w:hAnsi="Times New Roman"/>
          <w:spacing w:val="-2"/>
          <w:sz w:val="24"/>
          <w:szCs w:val="24"/>
        </w:rPr>
      </w:pPr>
    </w:p>
    <w:p w14:paraId="40A26684" w14:textId="77777777" w:rsidR="00CB4047" w:rsidRPr="00CB4047" w:rsidRDefault="00CB4047" w:rsidP="00CB4047">
      <w:pPr>
        <w:spacing w:before="160"/>
        <w:rPr>
          <w:rFonts w:ascii="Times New Roman" w:hAnsi="Times New Roman"/>
          <w:b/>
          <w:bCs/>
          <w:sz w:val="24"/>
          <w:szCs w:val="24"/>
        </w:rPr>
      </w:pPr>
      <w:r w:rsidRPr="00CB4047">
        <w:rPr>
          <w:rFonts w:ascii="Times New Roman" w:hAnsi="Times New Roman"/>
          <w:b/>
          <w:bCs/>
          <w:sz w:val="24"/>
          <w:szCs w:val="24"/>
        </w:rPr>
        <w:t>Component 2: Risk Mitigation Mechanism</w:t>
      </w:r>
    </w:p>
    <w:p w14:paraId="3143AA06" w14:textId="77777777" w:rsidR="00CB4047" w:rsidRPr="00CB4047" w:rsidRDefault="00CB4047" w:rsidP="00CB4047">
      <w:pPr>
        <w:tabs>
          <w:tab w:val="left" w:pos="720"/>
        </w:tabs>
        <w:rPr>
          <w:rFonts w:ascii="Times New Roman" w:eastAsia="Calibri" w:hAnsi="Times New Roman"/>
          <w:color w:val="000000" w:themeColor="text1"/>
          <w:sz w:val="24"/>
          <w:szCs w:val="24"/>
        </w:rPr>
      </w:pPr>
      <w:r w:rsidRPr="00CB4047">
        <w:rPr>
          <w:rFonts w:ascii="Times New Roman" w:eastAsia="Calibri" w:hAnsi="Times New Roman"/>
          <w:color w:val="000000" w:themeColor="text1"/>
          <w:sz w:val="24"/>
          <w:szCs w:val="24"/>
        </w:rPr>
        <w:t xml:space="preserve">Equity Capital in the RREIIF Risk Mitigation Fund for Partial Credit Guarantees. The RREIIF will provide risk mitigation solutions for participating banks in the region through a new RE window with multiple product offerings, e.g. partial credit guarantee (PCG) implemented by the ECPCGC. This component will also address physical risks by supporting RE projects that have resilient design. </w:t>
      </w:r>
    </w:p>
    <w:p w14:paraId="0C58C78D" w14:textId="77777777" w:rsidR="00CB4047" w:rsidRPr="00CB4047" w:rsidRDefault="00CB4047" w:rsidP="00F4591A">
      <w:pPr>
        <w:suppressAutoHyphens/>
        <w:rPr>
          <w:rFonts w:ascii="Times New Roman" w:hAnsi="Times New Roman"/>
          <w:spacing w:val="-2"/>
          <w:sz w:val="24"/>
          <w:szCs w:val="24"/>
        </w:rPr>
      </w:pPr>
    </w:p>
    <w:p w14:paraId="0496D080" w14:textId="77777777" w:rsidR="00CB4047" w:rsidRPr="00CB4047" w:rsidRDefault="00CB4047" w:rsidP="00CB4047">
      <w:pPr>
        <w:rPr>
          <w:rFonts w:ascii="Times New Roman" w:hAnsi="Times New Roman"/>
          <w:b/>
          <w:bCs/>
          <w:sz w:val="24"/>
          <w:szCs w:val="24"/>
        </w:rPr>
      </w:pPr>
      <w:r w:rsidRPr="00CB4047">
        <w:rPr>
          <w:rFonts w:ascii="Times New Roman" w:hAnsi="Times New Roman"/>
          <w:b/>
          <w:bCs/>
          <w:sz w:val="24"/>
          <w:szCs w:val="24"/>
        </w:rPr>
        <w:t>Component 3: Renewable Energy Integration and Infrastructure Modernization, Institutional Strengthening, and National Implementation Support</w:t>
      </w:r>
    </w:p>
    <w:p w14:paraId="28C96457" w14:textId="77777777" w:rsidR="00CB4047" w:rsidRPr="00CB4047" w:rsidRDefault="00CB4047" w:rsidP="00CB4047">
      <w:pPr>
        <w:rPr>
          <w:rFonts w:ascii="Times New Roman" w:eastAsia="Calibri" w:hAnsi="Times New Roman"/>
          <w:color w:val="000000" w:themeColor="text1"/>
          <w:sz w:val="24"/>
          <w:szCs w:val="24"/>
        </w:rPr>
      </w:pPr>
      <w:r w:rsidRPr="00CB4047">
        <w:rPr>
          <w:rFonts w:ascii="Times New Roman" w:eastAsia="Calibri" w:hAnsi="Times New Roman"/>
          <w:color w:val="000000" w:themeColor="text1"/>
          <w:sz w:val="24"/>
          <w:szCs w:val="24"/>
        </w:rPr>
        <w:t>This component focuses on modernizing electricity grids to support the integration of RE sources and enhance the reliability and resilience of energy infrastructure. It will finance the optimization and strengthening of transmission and distribution (T&amp;D) networks in participating countries, preparing the grid to accommodate increased RE generation, including battery energy storage. The investment will cover works to expand the capacity of existing sub transmission lines, upgrade current substations, or establish new primary substations. All infrastructure design and construction will incorporate climate-resilient measures to enhance the grid's durability against climate and natural disaster risks, which have been estimated to represent an additional cost of 30 to 100 percent based on experience of other countries in the region and determined during feasibility studies.</w:t>
      </w:r>
    </w:p>
    <w:p w14:paraId="511B2D07" w14:textId="7D77D6E9" w:rsidR="00CB4047" w:rsidRPr="00CB4047" w:rsidRDefault="00CB4047" w:rsidP="00CB4047">
      <w:pPr>
        <w:pStyle w:val="Default"/>
        <w:ind w:left="0"/>
        <w:rPr>
          <w:rFonts w:ascii="Times New Roman" w:eastAsia="Calibri" w:hAnsi="Times New Roman" w:cs="Times New Roman"/>
          <w:b/>
          <w:bCs/>
        </w:rPr>
      </w:pPr>
      <w:r w:rsidRPr="00CB4047">
        <w:rPr>
          <w:rFonts w:ascii="Times New Roman" w:eastAsia="Calibri" w:hAnsi="Times New Roman" w:cs="Times New Roman"/>
          <w:b/>
          <w:bCs/>
        </w:rPr>
        <w:lastRenderedPageBreak/>
        <w:t xml:space="preserve">Subcomponent 3.1 – Grenada: Supply and installation of T&amp;D </w:t>
      </w:r>
      <w:proofErr w:type="gramStart"/>
      <w:r w:rsidRPr="00CB4047">
        <w:rPr>
          <w:rFonts w:ascii="Times New Roman" w:eastAsia="Calibri" w:hAnsi="Times New Roman" w:cs="Times New Roman"/>
          <w:b/>
          <w:bCs/>
        </w:rPr>
        <w:t>lines,  substations</w:t>
      </w:r>
      <w:proofErr w:type="gramEnd"/>
      <w:r w:rsidRPr="00CB4047">
        <w:rPr>
          <w:rFonts w:ascii="Times New Roman" w:eastAsia="Calibri" w:hAnsi="Times New Roman" w:cs="Times New Roman"/>
          <w:b/>
          <w:bCs/>
        </w:rPr>
        <w:t xml:space="preserve">, and  redundant computer servers for the existing SCADA system. </w:t>
      </w:r>
    </w:p>
    <w:p w14:paraId="1A9B5411" w14:textId="3FEF1F12" w:rsidR="00CB4047" w:rsidRPr="00CB4047" w:rsidRDefault="00CB4047" w:rsidP="00CB4047">
      <w:pPr>
        <w:pStyle w:val="Default"/>
        <w:ind w:left="0"/>
        <w:rPr>
          <w:rFonts w:ascii="Times New Roman" w:hAnsi="Times New Roman" w:cs="Times New Roman"/>
        </w:rPr>
      </w:pPr>
      <w:r w:rsidRPr="00CB4047">
        <w:rPr>
          <w:rFonts w:ascii="Times New Roman" w:eastAsia="Calibri" w:hAnsi="Times New Roman" w:cs="Times New Roman"/>
        </w:rPr>
        <w:t>In Grenada, this will consist of procurement and installation of (</w:t>
      </w:r>
      <w:proofErr w:type="spellStart"/>
      <w:r w:rsidRPr="00CB4047">
        <w:rPr>
          <w:rFonts w:ascii="Times New Roman" w:eastAsia="Calibri" w:hAnsi="Times New Roman" w:cs="Times New Roman"/>
        </w:rPr>
        <w:t>i</w:t>
      </w:r>
      <w:proofErr w:type="spellEnd"/>
      <w:r w:rsidRPr="00CB4047">
        <w:rPr>
          <w:rFonts w:ascii="Times New Roman" w:eastAsia="Calibri" w:hAnsi="Times New Roman" w:cs="Times New Roman"/>
        </w:rPr>
        <w:t>) reinforcements of T&amp;D networks to accommodate increased capacity, (ii) construction of new substations to optimize voltage levels, and (iii) installation of remote redundant computer server for the existing SCADA system. In the first phase, the Project will finance (</w:t>
      </w:r>
      <w:proofErr w:type="spellStart"/>
      <w:r w:rsidRPr="00CB4047">
        <w:rPr>
          <w:rFonts w:ascii="Times New Roman" w:eastAsia="Calibri" w:hAnsi="Times New Roman" w:cs="Times New Roman"/>
        </w:rPr>
        <w:t>i</w:t>
      </w:r>
      <w:proofErr w:type="spellEnd"/>
      <w:r w:rsidRPr="00CB4047">
        <w:rPr>
          <w:rFonts w:ascii="Times New Roman" w:eastAsia="Calibri" w:hAnsi="Times New Roman" w:cs="Times New Roman"/>
        </w:rPr>
        <w:t>) the construction of dual 33kV sub transmission lines from Queens Park to Pearls</w:t>
      </w:r>
      <w:r w:rsidRPr="00CB4047">
        <w:rPr>
          <w:rFonts w:ascii="Times New Roman" w:eastAsia="Calibri" w:hAnsi="Times New Roman" w:cs="Times New Roman"/>
          <w:color w:val="156082" w:themeColor="accent1"/>
        </w:rPr>
        <w:t xml:space="preserve">, </w:t>
      </w:r>
      <w:r w:rsidRPr="00CB4047">
        <w:rPr>
          <w:rFonts w:ascii="Times New Roman" w:eastAsia="Calibri" w:hAnsi="Times New Roman" w:cs="Times New Roman"/>
        </w:rPr>
        <w:t>with extensions to Plains and Levera (ii) the construction of two new 33/11kV substations of 15MVA to 20MVA transformers with (n-1) security at Pearls and Plains, and (iii) the installation of a remote redundant computer server for the existing SCADA system. This subcomponent will also fund the owner's engineer for GRENLEC.</w:t>
      </w:r>
    </w:p>
    <w:p w14:paraId="53F4C094" w14:textId="77777777" w:rsidR="00CB4047" w:rsidRPr="00CB4047" w:rsidRDefault="00CB4047" w:rsidP="00CB4047">
      <w:pPr>
        <w:pStyle w:val="Default"/>
        <w:ind w:left="0"/>
        <w:rPr>
          <w:rFonts w:ascii="Times New Roman" w:eastAsia="Calibri" w:hAnsi="Times New Roman" w:cs="Times New Roman"/>
        </w:rPr>
      </w:pPr>
    </w:p>
    <w:p w14:paraId="6F8CD4A4" w14:textId="77777777" w:rsidR="00CB4047" w:rsidRPr="00CB4047" w:rsidRDefault="00CB4047" w:rsidP="00CB4047">
      <w:pPr>
        <w:pStyle w:val="Default"/>
        <w:ind w:left="0"/>
        <w:rPr>
          <w:rFonts w:ascii="Times New Roman" w:hAnsi="Times New Roman" w:cs="Times New Roman"/>
        </w:rPr>
      </w:pPr>
      <w:r w:rsidRPr="00CB4047">
        <w:rPr>
          <w:rFonts w:ascii="Times New Roman" w:eastAsia="Calibri" w:hAnsi="Times New Roman" w:cs="Times New Roman"/>
          <w:b/>
          <w:bCs/>
        </w:rPr>
        <w:t>Subcomponent 3.4: Institutional strengthening and Implementation Support to National PIUs</w:t>
      </w:r>
    </w:p>
    <w:p w14:paraId="08C6807B" w14:textId="77777777" w:rsidR="00CB4047" w:rsidRPr="00CB4047" w:rsidRDefault="00CB4047" w:rsidP="00CB4047">
      <w:pPr>
        <w:rPr>
          <w:rFonts w:ascii="Times New Roman" w:hAnsi="Times New Roman"/>
          <w:sz w:val="24"/>
          <w:szCs w:val="24"/>
        </w:rPr>
      </w:pPr>
      <w:r w:rsidRPr="00CB4047">
        <w:rPr>
          <w:rFonts w:ascii="Times New Roman" w:hAnsi="Times New Roman"/>
          <w:sz w:val="24"/>
          <w:szCs w:val="24"/>
        </w:rPr>
        <w:t xml:space="preserve">The subcomponent will focus on supporting the PIU in the implementation of the Project including advisory services, and the preparation of any E&amp;S instruments that might be required, targeted capacity building to increase the skills, </w:t>
      </w:r>
      <w:proofErr w:type="gramStart"/>
      <w:r w:rsidRPr="00CB4047">
        <w:rPr>
          <w:rFonts w:ascii="Times New Roman" w:hAnsi="Times New Roman"/>
          <w:sz w:val="24"/>
          <w:szCs w:val="24"/>
        </w:rPr>
        <w:t>employability</w:t>
      </w:r>
      <w:proofErr w:type="gramEnd"/>
      <w:r w:rsidRPr="00CB4047">
        <w:rPr>
          <w:rFonts w:ascii="Times New Roman" w:hAnsi="Times New Roman"/>
          <w:sz w:val="24"/>
          <w:szCs w:val="24"/>
        </w:rPr>
        <w:t xml:space="preserve"> and participation in the RE sector, scholarships and apprenticeship support in partner institutions and financing for PIU staff and operations. The scholarship and apprenticeship program aims to address gender disparities through a multifaceted country-specific approach aiming to create sustainable pathways for participation of women and men in the energy sector. </w:t>
      </w:r>
    </w:p>
    <w:p w14:paraId="423BAD8C" w14:textId="77777777" w:rsidR="00CB4047" w:rsidRPr="00CB4047" w:rsidRDefault="00CB4047" w:rsidP="00CB4047">
      <w:pPr>
        <w:rPr>
          <w:rFonts w:ascii="Times New Roman" w:hAnsi="Times New Roman"/>
          <w:sz w:val="24"/>
          <w:szCs w:val="24"/>
        </w:rPr>
      </w:pPr>
      <w:r w:rsidRPr="00CB4047">
        <w:rPr>
          <w:rFonts w:ascii="Times New Roman" w:hAnsi="Times New Roman"/>
          <w:sz w:val="24"/>
          <w:szCs w:val="24"/>
        </w:rPr>
        <w:t>This sub-component includes: (</w:t>
      </w:r>
      <w:proofErr w:type="spellStart"/>
      <w:r w:rsidRPr="00CB4047">
        <w:rPr>
          <w:rFonts w:ascii="Times New Roman" w:hAnsi="Times New Roman"/>
          <w:sz w:val="24"/>
          <w:szCs w:val="24"/>
        </w:rPr>
        <w:t>i</w:t>
      </w:r>
      <w:proofErr w:type="spellEnd"/>
      <w:r w:rsidRPr="00CB4047">
        <w:rPr>
          <w:rFonts w:ascii="Times New Roman" w:hAnsi="Times New Roman"/>
          <w:sz w:val="24"/>
          <w:szCs w:val="24"/>
        </w:rPr>
        <w:t xml:space="preserve">) </w:t>
      </w:r>
      <w:proofErr w:type="spellStart"/>
      <w:r w:rsidRPr="00CB4047">
        <w:rPr>
          <w:rFonts w:ascii="Times New Roman" w:hAnsi="Times New Roman"/>
          <w:sz w:val="24"/>
          <w:szCs w:val="24"/>
        </w:rPr>
        <w:t>a</w:t>
      </w:r>
      <w:proofErr w:type="spellEnd"/>
      <w:r w:rsidRPr="00CB4047">
        <w:rPr>
          <w:rFonts w:ascii="Times New Roman" w:hAnsi="Times New Roman"/>
          <w:sz w:val="24"/>
          <w:szCs w:val="24"/>
        </w:rPr>
        <w:t xml:space="preserve"> the provision of targeted scholarships to partnership schools/accredited institutions for financing tuition fee and associated costs for women and men  pursuing electrical, civil, and mechanical engineering degrees and other related technical programs;, (ii) the creation of apprenticeship/internship opportunities to empower citizens with practical skills and industry experience; (iii) the implementation of professional development initiatives (e.g. job fairs, training), mentorship programs and career advising; (iv) early outreach campaigns, and (v) the creation of the Renewable Energy Entrepreneurship Program for citizens offering specialized workshops to equip them with business fundamentals, technical knowledge, and networking opportunities. Each country’s PIU will have designated funds based on support activities that need to be carried out. </w:t>
      </w:r>
    </w:p>
    <w:p w14:paraId="55AA62A2" w14:textId="77777777" w:rsidR="00CB4047" w:rsidRPr="00CB4047" w:rsidRDefault="00CB4047" w:rsidP="00F4591A">
      <w:pPr>
        <w:suppressAutoHyphens/>
        <w:rPr>
          <w:rFonts w:ascii="Times New Roman" w:hAnsi="Times New Roman"/>
          <w:spacing w:val="-2"/>
          <w:sz w:val="24"/>
          <w:szCs w:val="24"/>
        </w:rPr>
      </w:pPr>
    </w:p>
    <w:p w14:paraId="7E3FCC8E" w14:textId="77777777" w:rsidR="00CB4047" w:rsidRPr="00CB4047" w:rsidRDefault="00CB4047" w:rsidP="00CB4047">
      <w:pPr>
        <w:spacing w:before="160"/>
        <w:rPr>
          <w:rFonts w:ascii="Times New Roman" w:eastAsia="Calibri" w:hAnsi="Times New Roman"/>
          <w:sz w:val="24"/>
          <w:szCs w:val="24"/>
        </w:rPr>
      </w:pPr>
      <w:r w:rsidRPr="00CB4047">
        <w:rPr>
          <w:rFonts w:ascii="Times New Roman" w:eastAsia="Calibri" w:hAnsi="Times New Roman"/>
          <w:b/>
          <w:bCs/>
          <w:color w:val="000000" w:themeColor="text1"/>
          <w:sz w:val="24"/>
          <w:szCs w:val="24"/>
        </w:rPr>
        <w:t xml:space="preserve">Component 4: Contingent Emergency Response Component (CERC) </w:t>
      </w:r>
    </w:p>
    <w:p w14:paraId="70975686" w14:textId="77777777" w:rsidR="00CB4047" w:rsidRPr="00CB4047" w:rsidRDefault="00CB4047" w:rsidP="00CB4047">
      <w:pPr>
        <w:spacing w:before="160"/>
        <w:rPr>
          <w:rFonts w:ascii="Times New Roman" w:eastAsia="Calibri" w:hAnsi="Times New Roman"/>
          <w:sz w:val="24"/>
          <w:szCs w:val="24"/>
        </w:rPr>
      </w:pPr>
      <w:r w:rsidRPr="00CB4047">
        <w:rPr>
          <w:rFonts w:ascii="Times New Roman" w:eastAsia="Calibri" w:hAnsi="Times New Roman"/>
          <w:color w:val="000000" w:themeColor="text1"/>
          <w:sz w:val="24"/>
          <w:szCs w:val="24"/>
        </w:rPr>
        <w:t>This component will be available, if needed, to redeploy some of the Project resources alongside those of other projects in specific country project portfolio to respond to an emergency. The resources will be made available to finance emergency response activities and to address crisis and emergency needs. The activities to be financed will be assessed to ensure Paris Alignment. An Immediate Response Mechanism Coordinating Agency and expenditure management procedures will be defined in an Immediate Response Mechanism Operational Manual, to be prepared separately and approved by the World Bank, in line with guidance provided under OP 10.00, paragraph 12. In case this Component is used, the Project will be restructured to allocate the required financing, revise the PDO and indicators, and detail implementation arrangements as needed.</w:t>
      </w:r>
    </w:p>
    <w:p w14:paraId="0FDF229E" w14:textId="77777777" w:rsidR="00CB4047" w:rsidRPr="00CB4047" w:rsidRDefault="00CB4047" w:rsidP="00F4591A">
      <w:pPr>
        <w:suppressAutoHyphens/>
        <w:rPr>
          <w:rFonts w:ascii="Times New Roman" w:hAnsi="Times New Roman"/>
          <w:spacing w:val="-2"/>
          <w:sz w:val="24"/>
          <w:szCs w:val="24"/>
        </w:rPr>
      </w:pPr>
    </w:p>
    <w:p w14:paraId="0EE03042" w14:textId="23000E78" w:rsidR="00F4591A" w:rsidRPr="00CB4047" w:rsidRDefault="00F4591A" w:rsidP="00F4591A">
      <w:pPr>
        <w:suppressAutoHyphens/>
        <w:rPr>
          <w:rFonts w:ascii="Times New Roman" w:hAnsi="Times New Roman"/>
          <w:spacing w:val="-2"/>
          <w:sz w:val="24"/>
          <w:szCs w:val="24"/>
        </w:rPr>
      </w:pPr>
    </w:p>
    <w:p w14:paraId="1053B99B" w14:textId="3B1F4984" w:rsidR="00F4591A" w:rsidRPr="00CF68EF" w:rsidRDefault="00F4591A" w:rsidP="00F4591A">
      <w:pPr>
        <w:pStyle w:val="NormalWeb"/>
        <w:shd w:val="clear" w:color="auto" w:fill="FFFFFF"/>
        <w:spacing w:before="0" w:beforeAutospacing="0"/>
      </w:pPr>
      <w:r w:rsidRPr="00CF68EF">
        <w:t>Procurement of contracts financed by the World Bank will be conducted through the procedures as specified in the World Bank’s </w:t>
      </w:r>
      <w:r w:rsidRPr="00CF68EF">
        <w:rPr>
          <w:rStyle w:val="Emphasis"/>
          <w:rFonts w:eastAsiaTheme="majorEastAsia"/>
        </w:rPr>
        <w:t>Procurement Regulations for IPF Borrowers (July 2016, revised September 2023) (Procurement Regulations)</w:t>
      </w:r>
      <w:r w:rsidRPr="00CF68EF">
        <w:t>, and is open to all eligible firms and individuals as defined in the </w:t>
      </w:r>
      <w:r w:rsidRPr="00CF68EF">
        <w:rPr>
          <w:rStyle w:val="Emphasis"/>
          <w:rFonts w:eastAsiaTheme="majorEastAsia"/>
        </w:rPr>
        <w:t>Procurement Regulations</w:t>
      </w:r>
      <w:r w:rsidRPr="00CF68EF">
        <w:t>. The World Bank shall arrange the publication on its external website of the agreed initial procurement plan and all subsequent updates once it has provided a no objection.</w:t>
      </w:r>
    </w:p>
    <w:p w14:paraId="2246B85A" w14:textId="504B9CD2" w:rsidR="00F4591A" w:rsidRPr="00CF68EF" w:rsidRDefault="00F4591A" w:rsidP="00F4591A">
      <w:pPr>
        <w:pStyle w:val="NormalWeb"/>
        <w:shd w:val="clear" w:color="auto" w:fill="FFFFFF"/>
        <w:spacing w:before="0" w:beforeAutospacing="0"/>
        <w:rPr>
          <w:rStyle w:val="Emphasis"/>
          <w:rFonts w:eastAsiaTheme="majorEastAsia"/>
        </w:rPr>
      </w:pPr>
      <w:r w:rsidRPr="00CF68EF">
        <w:t>Specific procurement notices for contracts subject to open international competitive procurement will be announced, as they become available, in </w:t>
      </w:r>
      <w:r w:rsidRPr="00CF68EF">
        <w:rPr>
          <w:rStyle w:val="Emphasis"/>
          <w:rFonts w:eastAsiaTheme="majorEastAsia"/>
        </w:rPr>
        <w:t>UN Development Business online, on the World Bank’s external website</w:t>
      </w:r>
      <w:r w:rsidR="00C566D4">
        <w:rPr>
          <w:rStyle w:val="Emphasis"/>
          <w:rFonts w:eastAsiaTheme="majorEastAsia"/>
        </w:rPr>
        <w:t xml:space="preserve">, </w:t>
      </w:r>
      <w:r w:rsidRPr="00CF68EF">
        <w:rPr>
          <w:rStyle w:val="Emphasis"/>
          <w:rFonts w:eastAsiaTheme="majorEastAsia"/>
        </w:rPr>
        <w:t>Government of Grenada: </w:t>
      </w:r>
      <w:hyperlink r:id="rId6" w:history="1">
        <w:r w:rsidRPr="00CF68EF">
          <w:rPr>
            <w:rStyle w:val="Hyperlink"/>
            <w:rFonts w:eastAsiaTheme="majorEastAsia"/>
            <w:color w:val="auto"/>
            <w:u w:val="none"/>
          </w:rPr>
          <w:t>https://www.gov.gd</w:t>
        </w:r>
      </w:hyperlink>
      <w:r w:rsidR="00CF68EF" w:rsidRPr="00CF68EF">
        <w:rPr>
          <w:rStyle w:val="Emphasis"/>
          <w:rFonts w:eastAsiaTheme="majorEastAsia"/>
        </w:rPr>
        <w:t xml:space="preserve"> a</w:t>
      </w:r>
      <w:r w:rsidR="00CF68EF" w:rsidRPr="00CF68EF">
        <w:rPr>
          <w:rStyle w:val="Emphasis"/>
          <w:rFonts w:eastAsiaTheme="majorEastAsia"/>
          <w:shd w:val="clear" w:color="auto" w:fill="FFFFFF"/>
        </w:rPr>
        <w:t>nd GRENLEC</w:t>
      </w:r>
      <w:r w:rsidR="00C566D4">
        <w:rPr>
          <w:rStyle w:val="Emphasis"/>
          <w:rFonts w:eastAsiaTheme="majorEastAsia"/>
          <w:shd w:val="clear" w:color="auto" w:fill="FFFFFF"/>
        </w:rPr>
        <w:t xml:space="preserve">, </w:t>
      </w:r>
      <w:r w:rsidR="00CF68EF" w:rsidRPr="00CF68EF">
        <w:rPr>
          <w:rStyle w:val="Emphasis"/>
          <w:rFonts w:eastAsiaTheme="majorEastAsia"/>
          <w:shd w:val="clear" w:color="auto" w:fill="FFFFFF"/>
        </w:rPr>
        <w:t>www.grenlec.com</w:t>
      </w:r>
    </w:p>
    <w:p w14:paraId="01CB9430" w14:textId="7278E06D" w:rsidR="00F4591A" w:rsidRPr="00CF68EF" w:rsidRDefault="00F4591A" w:rsidP="00F4591A">
      <w:pPr>
        <w:pStyle w:val="NormalWeb"/>
        <w:shd w:val="clear" w:color="auto" w:fill="FFFFFF"/>
        <w:spacing w:before="0" w:beforeAutospacing="0"/>
      </w:pPr>
      <w:r w:rsidRPr="00CF68EF">
        <w:rPr>
          <w:spacing w:val="-2"/>
        </w:rPr>
        <w:t xml:space="preserve">Interested eligible firms and individuals who would wish to be considered for the provision of goods, works, non-consulting services and consulting services for the </w:t>
      </w:r>
      <w:proofErr w:type="gramStart"/>
      <w:r w:rsidRPr="00CF68EF">
        <w:rPr>
          <w:spacing w:val="-2"/>
        </w:rPr>
        <w:t>above mentioned</w:t>
      </w:r>
      <w:proofErr w:type="gramEnd"/>
      <w:r w:rsidRPr="00CF68EF">
        <w:rPr>
          <w:spacing w:val="-2"/>
        </w:rPr>
        <w:t xml:space="preserve"> project, or those requiring additional information, should contact the Borrower at the address below:</w:t>
      </w:r>
    </w:p>
    <w:p w14:paraId="7A009727" w14:textId="234B3A26" w:rsidR="00F4591A" w:rsidRPr="00C566D4" w:rsidRDefault="00CF68EF" w:rsidP="00F4591A">
      <w:pPr>
        <w:rPr>
          <w:rFonts w:ascii="Times New Roman" w:hAnsi="Times New Roman"/>
          <w:iCs/>
          <w:sz w:val="24"/>
          <w:szCs w:val="24"/>
        </w:rPr>
      </w:pPr>
      <w:r w:rsidRPr="00C566D4">
        <w:rPr>
          <w:rFonts w:ascii="Times New Roman" w:hAnsi="Times New Roman"/>
          <w:iCs/>
          <w:sz w:val="24"/>
          <w:szCs w:val="24"/>
        </w:rPr>
        <w:t>Ministry of Climate Resilience</w:t>
      </w:r>
      <w:r w:rsidR="00C566D4" w:rsidRPr="00C566D4">
        <w:rPr>
          <w:rFonts w:ascii="Times New Roman" w:hAnsi="Times New Roman"/>
          <w:iCs/>
          <w:sz w:val="24"/>
          <w:szCs w:val="24"/>
        </w:rPr>
        <w:t>, the Environment, and Renewable Energy</w:t>
      </w:r>
    </w:p>
    <w:p w14:paraId="03B3A956" w14:textId="1215D416" w:rsidR="00F4591A" w:rsidRPr="00C566D4" w:rsidRDefault="00C566D4" w:rsidP="00F4591A">
      <w:pPr>
        <w:rPr>
          <w:rFonts w:ascii="Times New Roman" w:hAnsi="Times New Roman"/>
          <w:iCs/>
          <w:sz w:val="24"/>
          <w:szCs w:val="24"/>
        </w:rPr>
      </w:pPr>
      <w:r w:rsidRPr="00C566D4">
        <w:rPr>
          <w:rFonts w:ascii="Times New Roman" w:hAnsi="Times New Roman"/>
          <w:iCs/>
          <w:sz w:val="24"/>
          <w:szCs w:val="24"/>
        </w:rPr>
        <w:t>Leslie Smith, Director of Renewable Energy</w:t>
      </w:r>
    </w:p>
    <w:p w14:paraId="1E73FD85" w14:textId="140F7371" w:rsidR="00F4591A" w:rsidRPr="00C566D4" w:rsidRDefault="00C566D4" w:rsidP="00F4591A">
      <w:pPr>
        <w:rPr>
          <w:rFonts w:ascii="Times New Roman" w:hAnsi="Times New Roman"/>
          <w:iCs/>
          <w:spacing w:val="-2"/>
          <w:sz w:val="24"/>
          <w:szCs w:val="24"/>
        </w:rPr>
      </w:pPr>
      <w:r w:rsidRPr="00C566D4">
        <w:rPr>
          <w:rFonts w:ascii="Times New Roman" w:hAnsi="Times New Roman"/>
          <w:iCs/>
          <w:sz w:val="24"/>
          <w:szCs w:val="24"/>
        </w:rPr>
        <w:t xml:space="preserve">Ministerial Complex, </w:t>
      </w:r>
      <w:proofErr w:type="spellStart"/>
      <w:r w:rsidRPr="00C566D4">
        <w:rPr>
          <w:rFonts w:ascii="Times New Roman" w:hAnsi="Times New Roman"/>
          <w:iCs/>
          <w:sz w:val="24"/>
          <w:szCs w:val="24"/>
        </w:rPr>
        <w:t>Tanteen</w:t>
      </w:r>
      <w:proofErr w:type="spellEnd"/>
      <w:r w:rsidRPr="00C566D4">
        <w:rPr>
          <w:rFonts w:ascii="Times New Roman" w:hAnsi="Times New Roman"/>
          <w:iCs/>
          <w:sz w:val="24"/>
          <w:szCs w:val="24"/>
        </w:rPr>
        <w:t>, St. George, Grenada</w:t>
      </w:r>
    </w:p>
    <w:p w14:paraId="40D04967" w14:textId="77777777" w:rsidR="00C566D4" w:rsidRPr="00C566D4" w:rsidRDefault="00C566D4" w:rsidP="00F4591A">
      <w:pPr>
        <w:tabs>
          <w:tab w:val="left" w:pos="2628"/>
        </w:tabs>
        <w:rPr>
          <w:rFonts w:ascii="Times New Roman" w:hAnsi="Times New Roman"/>
          <w:iCs/>
          <w:sz w:val="24"/>
          <w:szCs w:val="24"/>
        </w:rPr>
      </w:pPr>
      <w:r w:rsidRPr="00C566D4">
        <w:rPr>
          <w:rFonts w:ascii="Times New Roman" w:hAnsi="Times New Roman"/>
          <w:iCs/>
          <w:sz w:val="24"/>
          <w:szCs w:val="24"/>
        </w:rPr>
        <w:t>473 435 8708</w:t>
      </w:r>
    </w:p>
    <w:p w14:paraId="72E86B0F" w14:textId="69A89568" w:rsidR="00F4591A" w:rsidRPr="00C566D4" w:rsidRDefault="00C566D4" w:rsidP="00F4591A">
      <w:pPr>
        <w:tabs>
          <w:tab w:val="left" w:pos="2628"/>
        </w:tabs>
        <w:rPr>
          <w:rFonts w:ascii="Times New Roman" w:hAnsi="Times New Roman"/>
          <w:iCs/>
          <w:sz w:val="24"/>
          <w:szCs w:val="24"/>
        </w:rPr>
      </w:pPr>
      <w:r w:rsidRPr="00C566D4">
        <w:rPr>
          <w:rFonts w:ascii="Times New Roman" w:hAnsi="Times New Roman"/>
          <w:iCs/>
          <w:sz w:val="24"/>
          <w:szCs w:val="24"/>
        </w:rPr>
        <w:t>Leslie.smith@gov.gd</w:t>
      </w:r>
      <w:r w:rsidR="00F4591A" w:rsidRPr="00C566D4">
        <w:rPr>
          <w:rFonts w:ascii="Times New Roman" w:hAnsi="Times New Roman"/>
          <w:iCs/>
          <w:sz w:val="24"/>
          <w:szCs w:val="24"/>
        </w:rPr>
        <w:tab/>
      </w:r>
    </w:p>
    <w:p w14:paraId="152FB0B7" w14:textId="77777777" w:rsidR="008A5852" w:rsidRPr="00C566D4" w:rsidRDefault="008A5852">
      <w:pPr>
        <w:rPr>
          <w:rFonts w:ascii="Times New Roman" w:hAnsi="Times New Roman"/>
          <w:iCs/>
          <w:sz w:val="24"/>
          <w:szCs w:val="24"/>
        </w:rPr>
      </w:pPr>
    </w:p>
    <w:sectPr w:rsidR="008A5852" w:rsidRPr="00C566D4">
      <w:endnotePr>
        <w:numFmt w:val="decimal"/>
      </w:endnotePr>
      <w:pgSz w:w="12240" w:h="15840" w:code="1"/>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6544A" w14:textId="77777777" w:rsidR="002A24E3" w:rsidRDefault="002A24E3" w:rsidP="00F4591A">
      <w:r>
        <w:separator/>
      </w:r>
    </w:p>
  </w:endnote>
  <w:endnote w:type="continuationSeparator" w:id="0">
    <w:p w14:paraId="236F9B1C" w14:textId="77777777" w:rsidR="002A24E3" w:rsidRDefault="002A24E3" w:rsidP="00F4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D5481" w14:textId="77777777" w:rsidR="002A24E3" w:rsidRDefault="002A24E3" w:rsidP="00F4591A">
      <w:r>
        <w:separator/>
      </w:r>
    </w:p>
  </w:footnote>
  <w:footnote w:type="continuationSeparator" w:id="0">
    <w:p w14:paraId="1C38A3BC" w14:textId="77777777" w:rsidR="002A24E3" w:rsidRDefault="002A24E3" w:rsidP="00F45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1A"/>
    <w:rsid w:val="000957BE"/>
    <w:rsid w:val="002A24E3"/>
    <w:rsid w:val="008A5852"/>
    <w:rsid w:val="009362C4"/>
    <w:rsid w:val="00C32B3D"/>
    <w:rsid w:val="00C566D4"/>
    <w:rsid w:val="00CB4047"/>
    <w:rsid w:val="00CB4D9A"/>
    <w:rsid w:val="00CF68EF"/>
    <w:rsid w:val="00F4591A"/>
    <w:rsid w:val="00FF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AACC"/>
  <w15:chartTrackingRefBased/>
  <w15:docId w15:val="{B1F688AD-66DD-40EF-A852-62842382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91A"/>
    <w:pPr>
      <w:spacing w:after="0" w:line="240" w:lineRule="auto"/>
    </w:pPr>
    <w:rPr>
      <w:rFonts w:ascii="CG Times" w:eastAsia="Times New Roman" w:hAnsi="CG Times" w:cs="Times New Roman"/>
      <w:szCs w:val="20"/>
    </w:rPr>
  </w:style>
  <w:style w:type="paragraph" w:styleId="Heading1">
    <w:name w:val="heading 1"/>
    <w:basedOn w:val="Normal"/>
    <w:next w:val="Normal"/>
    <w:link w:val="Heading1Char"/>
    <w:uiPriority w:val="9"/>
    <w:qFormat/>
    <w:rsid w:val="00F4591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91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91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91A"/>
    <w:pPr>
      <w:keepNext/>
      <w:keepLines/>
      <w:spacing w:before="80" w:after="40" w:line="259" w:lineRule="auto"/>
      <w:outlineLvl w:val="3"/>
    </w:pPr>
    <w:rPr>
      <w:rFonts w:asciiTheme="minorHAnsi" w:eastAsiaTheme="majorEastAsia" w:hAnsiTheme="minorHAnsi" w:cstheme="majorBidi"/>
      <w:i/>
      <w:iCs/>
      <w:color w:val="0F4761" w:themeColor="accent1" w:themeShade="BF"/>
      <w:szCs w:val="22"/>
    </w:rPr>
  </w:style>
  <w:style w:type="paragraph" w:styleId="Heading5">
    <w:name w:val="heading 5"/>
    <w:basedOn w:val="Normal"/>
    <w:next w:val="Normal"/>
    <w:link w:val="Heading5Char"/>
    <w:uiPriority w:val="9"/>
    <w:semiHidden/>
    <w:unhideWhenUsed/>
    <w:qFormat/>
    <w:rsid w:val="00F4591A"/>
    <w:pPr>
      <w:keepNext/>
      <w:keepLines/>
      <w:spacing w:before="80" w:after="40" w:line="259" w:lineRule="auto"/>
      <w:outlineLvl w:val="4"/>
    </w:pPr>
    <w:rPr>
      <w:rFonts w:asciiTheme="minorHAnsi" w:eastAsiaTheme="majorEastAsia" w:hAnsiTheme="minorHAnsi" w:cstheme="majorBidi"/>
      <w:color w:val="0F4761" w:themeColor="accent1" w:themeShade="BF"/>
      <w:szCs w:val="22"/>
    </w:rPr>
  </w:style>
  <w:style w:type="paragraph" w:styleId="Heading6">
    <w:name w:val="heading 6"/>
    <w:basedOn w:val="Normal"/>
    <w:next w:val="Normal"/>
    <w:link w:val="Heading6Char"/>
    <w:uiPriority w:val="9"/>
    <w:semiHidden/>
    <w:unhideWhenUsed/>
    <w:qFormat/>
    <w:rsid w:val="00F4591A"/>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F4591A"/>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F4591A"/>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F4591A"/>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91A"/>
    <w:rPr>
      <w:rFonts w:eastAsiaTheme="majorEastAsia" w:cstheme="majorBidi"/>
      <w:color w:val="272727" w:themeColor="text1" w:themeTint="D8"/>
    </w:rPr>
  </w:style>
  <w:style w:type="paragraph" w:styleId="Title">
    <w:name w:val="Title"/>
    <w:basedOn w:val="Normal"/>
    <w:next w:val="Normal"/>
    <w:link w:val="TitleChar"/>
    <w:uiPriority w:val="10"/>
    <w:qFormat/>
    <w:rsid w:val="00F459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91A"/>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91A"/>
    <w:pPr>
      <w:spacing w:before="160" w:after="160" w:line="259" w:lineRule="auto"/>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F4591A"/>
    <w:rPr>
      <w:i/>
      <w:iCs/>
      <w:color w:val="404040" w:themeColor="text1" w:themeTint="BF"/>
    </w:rPr>
  </w:style>
  <w:style w:type="paragraph" w:styleId="ListParagraph">
    <w:name w:val="List Paragraph"/>
    <w:basedOn w:val="Normal"/>
    <w:uiPriority w:val="34"/>
    <w:qFormat/>
    <w:rsid w:val="00F4591A"/>
    <w:pPr>
      <w:spacing w:after="160" w:line="259" w:lineRule="auto"/>
      <w:ind w:left="720"/>
      <w:contextualSpacing/>
    </w:pPr>
    <w:rPr>
      <w:rFonts w:asciiTheme="minorHAnsi" w:eastAsiaTheme="minorHAnsi" w:hAnsiTheme="minorHAnsi" w:cstheme="minorBidi"/>
      <w:szCs w:val="22"/>
    </w:rPr>
  </w:style>
  <w:style w:type="character" w:styleId="IntenseEmphasis">
    <w:name w:val="Intense Emphasis"/>
    <w:basedOn w:val="DefaultParagraphFont"/>
    <w:uiPriority w:val="21"/>
    <w:qFormat/>
    <w:rsid w:val="00F4591A"/>
    <w:rPr>
      <w:i/>
      <w:iCs/>
      <w:color w:val="0F4761" w:themeColor="accent1" w:themeShade="BF"/>
    </w:rPr>
  </w:style>
  <w:style w:type="paragraph" w:styleId="IntenseQuote">
    <w:name w:val="Intense Quote"/>
    <w:basedOn w:val="Normal"/>
    <w:next w:val="Normal"/>
    <w:link w:val="IntenseQuoteChar"/>
    <w:uiPriority w:val="30"/>
    <w:qFormat/>
    <w:rsid w:val="00F4591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Cs w:val="22"/>
    </w:rPr>
  </w:style>
  <w:style w:type="character" w:customStyle="1" w:styleId="IntenseQuoteChar">
    <w:name w:val="Intense Quote Char"/>
    <w:basedOn w:val="DefaultParagraphFont"/>
    <w:link w:val="IntenseQuote"/>
    <w:uiPriority w:val="30"/>
    <w:rsid w:val="00F4591A"/>
    <w:rPr>
      <w:i/>
      <w:iCs/>
      <w:color w:val="0F4761" w:themeColor="accent1" w:themeShade="BF"/>
    </w:rPr>
  </w:style>
  <w:style w:type="character" w:styleId="IntenseReference">
    <w:name w:val="Intense Reference"/>
    <w:basedOn w:val="DefaultParagraphFont"/>
    <w:uiPriority w:val="32"/>
    <w:qFormat/>
    <w:rsid w:val="00F4591A"/>
    <w:rPr>
      <w:b/>
      <w:bCs/>
      <w:smallCaps/>
      <w:color w:val="0F4761" w:themeColor="accent1" w:themeShade="BF"/>
      <w:spacing w:val="5"/>
    </w:rPr>
  </w:style>
  <w:style w:type="paragraph" w:customStyle="1" w:styleId="ChapterNumber">
    <w:name w:val="ChapterNumber"/>
    <w:rsid w:val="00F4591A"/>
    <w:pPr>
      <w:tabs>
        <w:tab w:val="left" w:pos="-720"/>
      </w:tabs>
      <w:suppressAutoHyphens/>
      <w:spacing w:after="0" w:line="240" w:lineRule="auto"/>
    </w:pPr>
    <w:rPr>
      <w:rFonts w:ascii="CG Times" w:eastAsia="Times New Roman" w:hAnsi="CG Times" w:cs="Times New Roman"/>
      <w:szCs w:val="20"/>
    </w:rPr>
  </w:style>
  <w:style w:type="character" w:styleId="FootnoteReference">
    <w:name w:val="footnote reference"/>
    <w:semiHidden/>
    <w:rsid w:val="00F4591A"/>
    <w:rPr>
      <w:rFonts w:ascii="CG Times" w:hAnsi="CG Times"/>
      <w:noProof w:val="0"/>
      <w:sz w:val="22"/>
      <w:vertAlign w:val="superscript"/>
      <w:lang w:val="en-US"/>
    </w:rPr>
  </w:style>
  <w:style w:type="paragraph" w:styleId="FootnoteText">
    <w:name w:val="footnote text"/>
    <w:basedOn w:val="Normal"/>
    <w:link w:val="FootnoteTextChar"/>
    <w:semiHidden/>
    <w:rsid w:val="00F4591A"/>
    <w:pPr>
      <w:tabs>
        <w:tab w:val="left" w:pos="-720"/>
      </w:tabs>
      <w:suppressAutoHyphens/>
    </w:pPr>
    <w:rPr>
      <w:rFonts w:ascii="Times New Roman" w:hAnsi="Times New Roman"/>
      <w:sz w:val="20"/>
    </w:rPr>
  </w:style>
  <w:style w:type="character" w:customStyle="1" w:styleId="FootnoteTextChar">
    <w:name w:val="Footnote Text Char"/>
    <w:basedOn w:val="DefaultParagraphFont"/>
    <w:link w:val="FootnoteText"/>
    <w:semiHidden/>
    <w:rsid w:val="00F4591A"/>
    <w:rPr>
      <w:rFonts w:ascii="Times New Roman" w:eastAsia="Times New Roman" w:hAnsi="Times New Roman" w:cs="Times New Roman"/>
      <w:sz w:val="20"/>
      <w:szCs w:val="20"/>
    </w:rPr>
  </w:style>
  <w:style w:type="paragraph" w:customStyle="1" w:styleId="Heading1a">
    <w:name w:val="Heading 1a"/>
    <w:rsid w:val="00F4591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
    <w:name w:val="Body Text"/>
    <w:basedOn w:val="Normal"/>
    <w:link w:val="BodyTextChar"/>
    <w:rsid w:val="00F4591A"/>
    <w:pPr>
      <w:suppressAutoHyphens/>
    </w:pPr>
    <w:rPr>
      <w:spacing w:val="-2"/>
      <w:sz w:val="24"/>
    </w:rPr>
  </w:style>
  <w:style w:type="character" w:customStyle="1" w:styleId="BodyTextChar">
    <w:name w:val="Body Text Char"/>
    <w:basedOn w:val="DefaultParagraphFont"/>
    <w:link w:val="BodyText"/>
    <w:rsid w:val="00F4591A"/>
    <w:rPr>
      <w:rFonts w:ascii="CG Times" w:eastAsia="Times New Roman" w:hAnsi="CG Times" w:cs="Times New Roman"/>
      <w:spacing w:val="-2"/>
      <w:sz w:val="24"/>
      <w:szCs w:val="20"/>
    </w:rPr>
  </w:style>
  <w:style w:type="character" w:styleId="Hyperlink">
    <w:name w:val="Hyperlink"/>
    <w:rsid w:val="00F4591A"/>
    <w:rPr>
      <w:color w:val="0000FF"/>
      <w:u w:val="single"/>
    </w:rPr>
  </w:style>
  <w:style w:type="paragraph" w:styleId="NormalWeb">
    <w:name w:val="Normal (Web)"/>
    <w:basedOn w:val="Normal"/>
    <w:uiPriority w:val="99"/>
    <w:unhideWhenUsed/>
    <w:rsid w:val="00F4591A"/>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F4591A"/>
    <w:rPr>
      <w:i/>
      <w:iCs/>
    </w:rPr>
  </w:style>
  <w:style w:type="character" w:styleId="UnresolvedMention">
    <w:name w:val="Unresolved Mention"/>
    <w:basedOn w:val="DefaultParagraphFont"/>
    <w:uiPriority w:val="99"/>
    <w:semiHidden/>
    <w:unhideWhenUsed/>
    <w:rsid w:val="00F4591A"/>
    <w:rPr>
      <w:color w:val="605E5C"/>
      <w:shd w:val="clear" w:color="auto" w:fill="E1DFDD"/>
    </w:rPr>
  </w:style>
  <w:style w:type="paragraph" w:customStyle="1" w:styleId="Default">
    <w:name w:val="Default"/>
    <w:basedOn w:val="Normal"/>
    <w:link w:val="DefaultChar"/>
    <w:uiPriority w:val="1"/>
    <w:rsid w:val="00CB4047"/>
    <w:pPr>
      <w:spacing w:line="259" w:lineRule="auto"/>
      <w:ind w:left="90"/>
      <w:jc w:val="both"/>
    </w:pPr>
    <w:rPr>
      <w:rFonts w:asciiTheme="minorHAnsi" w:eastAsiaTheme="minorHAnsi" w:hAnsiTheme="minorHAnsi" w:cs="Calibri"/>
      <w:color w:val="000000" w:themeColor="text1"/>
      <w:sz w:val="24"/>
      <w:szCs w:val="24"/>
    </w:rPr>
  </w:style>
  <w:style w:type="character" w:customStyle="1" w:styleId="DefaultChar">
    <w:name w:val="Default Char"/>
    <w:basedOn w:val="DefaultParagraphFont"/>
    <w:link w:val="Default"/>
    <w:uiPriority w:val="1"/>
    <w:rsid w:val="00CB4047"/>
    <w:rPr>
      <w:rFonts w:cs="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0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g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Brizan</dc:creator>
  <cp:keywords/>
  <dc:description/>
  <cp:lastModifiedBy>wendy Brizan</cp:lastModifiedBy>
  <cp:revision>3</cp:revision>
  <dcterms:created xsi:type="dcterms:W3CDTF">2026-02-09T12:26:00Z</dcterms:created>
  <dcterms:modified xsi:type="dcterms:W3CDTF">2026-02-09T18:20:00Z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e556f22d-34e9-44bb-ae7d-f0c2962820ed</vt:lpwstr>
  </property>
</Properties>
</file>